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773E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8"/>
          <w:szCs w:val="28"/>
        </w:rPr>
        <w:t>Unit 3 Assignment Sheet: Close Reading &amp; Literary Analysis</w:t>
      </w:r>
    </w:p>
    <w:p w14:paraId="54F1849A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8E42E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we understand and discuss literature? In this unit, we’ll be learning the basics of reading &amp; responding to literary works. Beyond the real-life application of any literature courses you’ll take, the skills you’ll learn in this unit will also famili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arize you with conferences, “calls for papers” (or CFPs), and roundtable discussions. </w:t>
      </w:r>
    </w:p>
    <w:p w14:paraId="48D6A98D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37530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your final project, you will wear the hat of a literary scholar in order to closely read and analyze a short work of fiction. Your objective will be to select and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nalyze one image, theme, or motif from a literary work and create an insightful, creative, and/or unique response to the call for papers issued by the literary journal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Diálogo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You will create a compelling thesis, and will work to express your particular 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reading’ of a story in an interesting and exciting format. </w:t>
      </w:r>
    </w:p>
    <w:p w14:paraId="4723B304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976E9B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1673"/>
        <w:gridCol w:w="2966"/>
        <w:gridCol w:w="1568"/>
        <w:gridCol w:w="1713"/>
      </w:tblGrid>
      <w:tr w:rsidR="00A70D58" w14:paraId="414CD17A" w14:textId="77777777">
        <w:tc>
          <w:tcPr>
            <w:tcW w:w="1656" w:type="dxa"/>
            <w:shd w:val="clear" w:color="auto" w:fill="auto"/>
          </w:tcPr>
          <w:p w14:paraId="2F7AF518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1673" w:type="dxa"/>
            <w:shd w:val="clear" w:color="auto" w:fill="auto"/>
          </w:tcPr>
          <w:p w14:paraId="1B1969D2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Audience</w:t>
            </w:r>
          </w:p>
        </w:tc>
        <w:tc>
          <w:tcPr>
            <w:tcW w:w="2966" w:type="dxa"/>
            <w:shd w:val="clear" w:color="auto" w:fill="auto"/>
          </w:tcPr>
          <w:p w14:paraId="38FD576F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Purpose</w:t>
            </w:r>
          </w:p>
        </w:tc>
        <w:tc>
          <w:tcPr>
            <w:tcW w:w="1568" w:type="dxa"/>
            <w:shd w:val="clear" w:color="auto" w:fill="auto"/>
          </w:tcPr>
          <w:p w14:paraId="6A10155D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Genre</w:t>
            </w:r>
          </w:p>
        </w:tc>
        <w:tc>
          <w:tcPr>
            <w:tcW w:w="1713" w:type="dxa"/>
            <w:shd w:val="clear" w:color="auto" w:fill="auto"/>
          </w:tcPr>
          <w:p w14:paraId="06107B0A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Rhetorical Situation</w:t>
            </w:r>
          </w:p>
        </w:tc>
      </w:tr>
      <w:tr w:rsidR="00A70D58" w14:paraId="5074B4EA" w14:textId="77777777">
        <w:tc>
          <w:tcPr>
            <w:tcW w:w="1656" w:type="dxa"/>
            <w:shd w:val="clear" w:color="auto" w:fill="auto"/>
          </w:tcPr>
          <w:p w14:paraId="3B0CFA8E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Literary scholar interested in publishing an essay in a scholarly journal</w:t>
            </w:r>
          </w:p>
          <w:p w14:paraId="7BF4ED21" w14:textId="77777777" w:rsidR="00A70D58" w:rsidRDefault="00A70D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7E39F921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Web users, scholars, students, people interested in the literary piece and/or the angle of your argument</w:t>
            </w:r>
          </w:p>
          <w:p w14:paraId="111767CB" w14:textId="77777777" w:rsidR="00A70D58" w:rsidRDefault="00A70D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shd w:val="clear" w:color="auto" w:fill="auto"/>
          </w:tcPr>
          <w:p w14:paraId="49F59383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Offer a unique reading of a work of fiction to the readers of the literary journal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Diálogo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line with the parameters set by the journal’s call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papers. </w:t>
            </w:r>
          </w:p>
          <w:p w14:paraId="6D28EE57" w14:textId="77777777" w:rsidR="00A70D58" w:rsidRDefault="00A70D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14:paraId="564C7312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Journal Article</w:t>
            </w:r>
          </w:p>
          <w:p w14:paraId="4DE74FEE" w14:textId="77777777" w:rsidR="00A70D58" w:rsidRDefault="00A70D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14:paraId="3DF247DC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You’ve just read </w:t>
            </w:r>
          </w:p>
          <w:p w14:paraId="12BB9A11" w14:textId="77777777" w:rsidR="00A70D58" w:rsidRDefault="00C11D8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really interesting and compelling call for papers, and want to cater your analysis of a work of literature to this CFP, in the hopes of sharing your work with fellow literary scholars and readers.   </w:t>
            </w:r>
          </w:p>
          <w:p w14:paraId="42123B2B" w14:textId="77777777" w:rsidR="00A70D58" w:rsidRDefault="00A70D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4D5C1C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3759D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Link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Diálogo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You are able to view a number of essays from past issues for free. </w:t>
      </w:r>
    </w:p>
    <w:p w14:paraId="5D53E0E6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E7C1BA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Check out the CFP we’ll be working from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online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or in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PDF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Below is a brief outline of the CFP’s major themes and interrogations: </w:t>
      </w:r>
    </w:p>
    <w:p w14:paraId="56FFE52B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79257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Latinx Detective Fiction (including detective, noir, hardboiled, and mystery narratives). </w:t>
      </w:r>
    </w:p>
    <w:p w14:paraId="6785E6C6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analyze works that challenge, rewrite, and sometimes ignore completely the popular scripts of white,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heteromasculine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anti/heroism in which these genres are often grounded</w:t>
      </w:r>
    </w:p>
    <w:p w14:paraId="16F32B99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Operative Questions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9DC551E" w14:textId="77777777" w:rsidR="00A70D58" w:rsidRDefault="00C11D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writers and filmmakers continue to produce works in th</w:t>
      </w:r>
      <w:r>
        <w:rPr>
          <w:rFonts w:ascii="Times New Roman" w:eastAsia="Times New Roman" w:hAnsi="Times New Roman" w:cs="Times New Roman"/>
          <w:sz w:val="24"/>
          <w:szCs w:val="24"/>
        </w:rPr>
        <w:t>ese genres and why do they remain so popular with audiences? How do these genres change (or do they change?) to accommodate Latinx narratives?</w:t>
      </w:r>
    </w:p>
    <w:p w14:paraId="64BA0CC7" w14:textId="77777777" w:rsidR="00A70D58" w:rsidRDefault="00C11D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at stake when Latinx narratives of alienation move from focusing on “private eyes/I’s” to imagining “coll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”?</w:t>
      </w:r>
    </w:p>
    <w:p w14:paraId="508926ED" w14:textId="77777777" w:rsidR="00A70D58" w:rsidRDefault="00C11D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and to what extent do Latinx detective narratives offer audiences a glimpse through “collective eyes” (or from “collectivized” perspectives)?</w:t>
      </w:r>
    </w:p>
    <w:p w14:paraId="38A73CDF" w14:textId="77777777" w:rsidR="00A70D58" w:rsidRDefault="00C11D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Do representations of power and violence in these genres resonate differently in the hands of L</w:t>
      </w:r>
      <w:r>
        <w:rPr>
          <w:rFonts w:ascii="Times New Roman" w:eastAsia="Times New Roman" w:hAnsi="Times New Roman" w:cs="Times New Roman"/>
          <w:sz w:val="24"/>
          <w:szCs w:val="24"/>
        </w:rPr>
        <w:t>atinx characters, authors, directors, etc.? If so, why?</w:t>
      </w:r>
    </w:p>
    <w:p w14:paraId="02D70AA3" w14:textId="77777777" w:rsidR="00A70D58" w:rsidRDefault="00C11D8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we gain and what might we lose when we read Latinx authors as disruptive voices within these genres?</w:t>
      </w:r>
    </w:p>
    <w:p w14:paraId="0EBFB79B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3651D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AF607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color w:val="1C458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C4587"/>
          <w:sz w:val="28"/>
          <w:szCs w:val="28"/>
        </w:rPr>
        <w:t>Feeder 3.1: Selecting a Story</w:t>
      </w:r>
    </w:p>
    <w:p w14:paraId="4F3D6B58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BF21A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feeder, I would like for you to select a short st</w:t>
      </w:r>
      <w:r>
        <w:rPr>
          <w:rFonts w:ascii="Times New Roman" w:eastAsia="Times New Roman" w:hAnsi="Times New Roman" w:cs="Times New Roman"/>
          <w:sz w:val="24"/>
          <w:szCs w:val="24"/>
        </w:rPr>
        <w:t>ory on which you’d like to write. Writing projects are always easier when you are interested in the content, so I am giving you the freedom to choose between the four short stories by Daniel José Older in our Course Reserves tab on Sakai. You can even writ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about two short stories, if you find a comparative analysis between two stories to be more generative than focusing on one short story. </w:t>
      </w:r>
    </w:p>
    <w:p w14:paraId="36938ED6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B74D8" w14:textId="77777777" w:rsidR="00A70D58" w:rsidRDefault="00C11D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effective feeder should consist of a 1-2 paragraph response, including: </w:t>
      </w:r>
    </w:p>
    <w:p w14:paraId="5F1E6FCA" w14:textId="77777777" w:rsidR="00A70D58" w:rsidRDefault="00C11D82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title of the story(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you intend to analyze. </w:t>
      </w:r>
    </w:p>
    <w:p w14:paraId="2DB372BF" w14:textId="77777777" w:rsidR="00A70D58" w:rsidRDefault="00C11D82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statement of what literary devices/themes you want to analyze</w:t>
      </w:r>
    </w:p>
    <w:p w14:paraId="5845E579" w14:textId="77777777" w:rsidR="00A70D58" w:rsidRDefault="00C11D82">
      <w:pPr>
        <w:numPr>
          <w:ilvl w:val="1"/>
          <w:numId w:val="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Tentative thesis statement </w:t>
      </w:r>
    </w:p>
    <w:p w14:paraId="0C8135DE" w14:textId="77777777" w:rsidR="00A70D58" w:rsidRDefault="00C11D82">
      <w:pPr>
        <w:numPr>
          <w:ilvl w:val="1"/>
          <w:numId w:val="5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how your argument relates to / answers the questions and themes outlined in the CFP</w:t>
      </w:r>
    </w:p>
    <w:p w14:paraId="53FC3022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>Due: 10/22</w:t>
      </w:r>
    </w:p>
    <w:p w14:paraId="0CCF61D2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5C0E5" w14:textId="19DFB744" w:rsidR="00A70D58" w:rsidRPr="005E37D8" w:rsidRDefault="00C11D8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  <w:t xml:space="preserve">Feeder 3.2: Secondary Research &amp; Abstract </w:t>
      </w:r>
    </w:p>
    <w:p w14:paraId="44D5DD8B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0FADB" w14:textId="77777777" w:rsidR="00A70D58" w:rsidRDefault="00C11D8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Secondary Research: </w:t>
      </w:r>
    </w:p>
    <w:p w14:paraId="49C489D6" w14:textId="77777777" w:rsidR="00A70D58" w:rsidRDefault="00C11D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feeder, you will find at least two secondary sources to support your reading of the selected short story. This will likely take the form of a scholarly journal article or a book, and can be found through a keyword search in the UNC library databas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Create a works cited list in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MLA format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of your two secondary sources. </w:t>
      </w:r>
    </w:p>
    <w:p w14:paraId="13E8AE43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1F9CF" w14:textId="77777777" w:rsidR="00A70D58" w:rsidRDefault="00C11D82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Abstract: </w:t>
      </w:r>
    </w:p>
    <w:p w14:paraId="0F896041" w14:textId="77777777" w:rsidR="00A70D58" w:rsidRDefault="00C11D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many CFPs, the coord</w:t>
      </w:r>
      <w:r>
        <w:rPr>
          <w:rFonts w:ascii="Times New Roman" w:eastAsia="Times New Roman" w:hAnsi="Times New Roman" w:cs="Times New Roman"/>
          <w:sz w:val="24"/>
          <w:szCs w:val="24"/>
        </w:rPr>
        <w:t>inators/editors will ask writers to submit an abstract prior to submitting their full essay. This is a way for them to narrow down the pool of applicants more efficiently. Since our essays are within the humanities discipline, you will be writing an inform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ative abstract rather than a descriptive one. A successful abstract includes: </w:t>
      </w:r>
    </w:p>
    <w:p w14:paraId="243E603A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E56E8" w14:textId="77777777" w:rsidR="00A70D58" w:rsidRDefault="00C11D8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point about the relevance of the work</w:t>
      </w:r>
    </w:p>
    <w:p w14:paraId="4358C0D9" w14:textId="77777777" w:rsidR="00A70D58" w:rsidRDefault="00C11D8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thesis of the work</w:t>
      </w:r>
    </w:p>
    <w:p w14:paraId="3EEB1202" w14:textId="77777777" w:rsidR="00A70D58" w:rsidRDefault="00C11D8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 description of the background </w:t>
      </w:r>
    </w:p>
    <w:p w14:paraId="5B1EB403" w14:textId="77777777" w:rsidR="00A70D58" w:rsidRDefault="00C11D8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Mention of the methods used (in this case, the angle or the approach you tak</w:t>
      </w:r>
      <w:r>
        <w:rPr>
          <w:rFonts w:ascii="Times New Roman" w:eastAsia="Times New Roman" w:hAnsi="Times New Roman" w:cs="Times New Roman"/>
          <w:sz w:val="24"/>
          <w:szCs w:val="24"/>
        </w:rPr>
        <w:t>e in your analysis)</w:t>
      </w:r>
    </w:p>
    <w:p w14:paraId="43ECB666" w14:textId="77777777" w:rsidR="00A70D58" w:rsidRDefault="00C11D8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 of the essay</w:t>
      </w:r>
    </w:p>
    <w:p w14:paraId="6B1E42B1" w14:textId="77777777" w:rsidR="00A70D58" w:rsidRDefault="00C11D8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Clear, concise, and powerful language</w:t>
      </w:r>
    </w:p>
    <w:p w14:paraId="02F15FC3" w14:textId="77777777" w:rsidR="00A70D58" w:rsidRDefault="00C11D82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 not exceeding 250 words</w:t>
      </w:r>
    </w:p>
    <w:p w14:paraId="00F37F34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63ACB0" w14:textId="77777777" w:rsidR="00A70D58" w:rsidRDefault="00C11D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 xml:space="preserve">Due: 10/29 </w:t>
      </w:r>
    </w:p>
    <w:p w14:paraId="42E4884A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544D59FA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</w:p>
    <w:p w14:paraId="3681A8BB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2F0C4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  <w:t xml:space="preserve">Unit Project: </w:t>
      </w:r>
      <w:proofErr w:type="spellStart"/>
      <w:r>
        <w:rPr>
          <w:rFonts w:ascii="Times New Roman" w:eastAsia="Times New Roman" w:hAnsi="Times New Roman" w:cs="Times New Roman"/>
          <w:b/>
          <w:i/>
          <w:color w:val="1155CC"/>
          <w:sz w:val="28"/>
          <w:szCs w:val="28"/>
        </w:rPr>
        <w:t>Diálogo</w:t>
      </w:r>
      <w:proofErr w:type="spellEnd"/>
      <w:r>
        <w:rPr>
          <w:rFonts w:ascii="Times New Roman" w:eastAsia="Times New Roman" w:hAnsi="Times New Roman" w:cs="Times New Roman"/>
          <w:b/>
          <w:i/>
          <w:color w:val="1155C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155CC"/>
          <w:sz w:val="28"/>
          <w:szCs w:val="28"/>
        </w:rPr>
        <w:t>Journal Article</w:t>
      </w:r>
    </w:p>
    <w:p w14:paraId="684B5915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55837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For this assignment, you will create a fully polished essay suitable for inclusion in a literary journal such as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Diálogo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in accordance with the themes set by the journal’s call for papers. </w:t>
      </w:r>
    </w:p>
    <w:p w14:paraId="3B360ACD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4925A1" w14:textId="77777777" w:rsidR="00A70D58" w:rsidRDefault="00C11D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effective essay should: </w:t>
      </w:r>
    </w:p>
    <w:p w14:paraId="48354C15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49D1E" w14:textId="77777777" w:rsidR="00A70D58" w:rsidRDefault="00C11D8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Incorporate at least two scholarly secondary sources</w:t>
      </w:r>
    </w:p>
    <w:p w14:paraId="0EFC596C" w14:textId="77777777" w:rsidR="00A70D58" w:rsidRDefault="00C11D8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an abstract</w:t>
      </w:r>
    </w:p>
    <w:p w14:paraId="01FF4FB1" w14:textId="77777777" w:rsidR="00A70D58" w:rsidRDefault="00C11D8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Convey a unique, well-supported thesis that contributes to or illuminates an interesting point about your selected short story. </w:t>
      </w:r>
    </w:p>
    <w:p w14:paraId="3AA0E968" w14:textId="77777777" w:rsidR="00A70D58" w:rsidRDefault="00C11D82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Fit with the theme established by the call for papers </w:t>
      </w:r>
    </w:p>
    <w:p w14:paraId="4A2705C9" w14:textId="77777777" w:rsidR="00A70D58" w:rsidRDefault="00C11D8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Have a logical organization and clear sentences </w:t>
      </w:r>
    </w:p>
    <w:p w14:paraId="5615DA0B" w14:textId="77777777" w:rsidR="00A70D58" w:rsidRDefault="00C11D82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Cite sources using MLA style citation</w:t>
      </w:r>
    </w:p>
    <w:p w14:paraId="1F5AB2A9" w14:textId="77777777" w:rsidR="00A70D58" w:rsidRDefault="00A70D5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84CEFD" w14:textId="77777777" w:rsidR="00A70D58" w:rsidRDefault="00C11D8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final week of classes (11/10 &amp; 11/12) we will be holding a virtual conference, where we will have a virtual roundtable discussion and you will have the opportun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ity to share your findings with your peers, and hear more about their work.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expect to be in our Zoom class for BOTH dates--Tuesday, November 10th and Thursday, November 12th--to accommodate this virtual conference. </w:t>
      </w:r>
    </w:p>
    <w:p w14:paraId="0305B8B3" w14:textId="77777777" w:rsidR="00A70D58" w:rsidRDefault="00A70D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8B5703" w14:textId="77777777" w:rsidR="00A70D58" w:rsidRDefault="00C11D8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CFE2F3"/>
        </w:rPr>
        <w:t>Due: 11/10</w:t>
      </w:r>
    </w:p>
    <w:p w14:paraId="3595D979" w14:textId="77777777" w:rsidR="00A70D58" w:rsidRDefault="00A70D5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4B718" w14:textId="77777777" w:rsidR="00A70D58" w:rsidRDefault="00A70D58"/>
    <w:sectPr w:rsidR="00A70D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D2DD0"/>
    <w:multiLevelType w:val="multilevel"/>
    <w:tmpl w:val="611E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645BC6"/>
    <w:multiLevelType w:val="multilevel"/>
    <w:tmpl w:val="0DCEE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6F2F9D"/>
    <w:multiLevelType w:val="multilevel"/>
    <w:tmpl w:val="C8B2C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294CDE"/>
    <w:multiLevelType w:val="multilevel"/>
    <w:tmpl w:val="26DA0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E9773F"/>
    <w:multiLevelType w:val="multilevel"/>
    <w:tmpl w:val="046AD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DC71F0"/>
    <w:multiLevelType w:val="multilevel"/>
    <w:tmpl w:val="AD0C2F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58"/>
    <w:rsid w:val="005E37D8"/>
    <w:rsid w:val="00A70D58"/>
    <w:rsid w:val="00C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F388D"/>
  <w15:docId w15:val="{347E856C-FD46-4AE2-87E2-E411E28B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mla_style/mla_formatting_and_style_guide/mla_formatting_and_style_guid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Cm05jLLc8j2cvx1CL6CFJOmqFYsxDY5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s.depaul.edu/centers-and-institutes/center-for-latino-research/publications/Pages/Call-for-Articles.aspx" TargetMode="External"/><Relationship Id="rId5" Type="http://schemas.openxmlformats.org/officeDocument/2006/relationships/hyperlink" Target="https://via.library.depaul.edu/dialo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Krysten</dc:creator>
  <cp:lastModifiedBy>Krysten</cp:lastModifiedBy>
  <cp:revision>2</cp:revision>
  <dcterms:created xsi:type="dcterms:W3CDTF">2020-07-17T22:01:00Z</dcterms:created>
  <dcterms:modified xsi:type="dcterms:W3CDTF">2020-07-17T22:01:00Z</dcterms:modified>
</cp:coreProperties>
</file>