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55A6" w14:textId="30D11724" w:rsidR="00CF03D9" w:rsidRDefault="00CF03D9" w:rsidP="004C75F7">
      <w:pPr>
        <w:jc w:val="center"/>
        <w:rPr>
          <w:rFonts w:ascii="Garamond" w:hAnsi="Garamond"/>
          <w:b/>
          <w:bCs/>
          <w:color w:val="000000"/>
        </w:rPr>
      </w:pPr>
      <w:r w:rsidRPr="001A6D5B">
        <w:rPr>
          <w:rFonts w:ascii="Garamond" w:hAnsi="Garamond"/>
          <w:b/>
          <w:bCs/>
          <w:color w:val="000000"/>
        </w:rPr>
        <w:t xml:space="preserve">Unit </w:t>
      </w:r>
      <w:r w:rsidR="004C75F7">
        <w:rPr>
          <w:rFonts w:ascii="Garamond" w:hAnsi="Garamond"/>
          <w:b/>
          <w:bCs/>
          <w:color w:val="000000"/>
        </w:rPr>
        <w:t>3</w:t>
      </w:r>
      <w:r w:rsidRPr="001A6D5B">
        <w:rPr>
          <w:rFonts w:ascii="Garamond" w:hAnsi="Garamond"/>
          <w:b/>
          <w:bCs/>
          <w:color w:val="000000"/>
        </w:rPr>
        <w:t xml:space="preserve">: </w:t>
      </w:r>
      <w:r w:rsidR="004C75F7" w:rsidRPr="004C75F7">
        <w:rPr>
          <w:rFonts w:ascii="Garamond" w:hAnsi="Garamond"/>
          <w:b/>
          <w:bCs/>
          <w:color w:val="000000"/>
        </w:rPr>
        <w:t>Making Narrative Choices in Twine</w:t>
      </w:r>
    </w:p>
    <w:p w14:paraId="60719F4F" w14:textId="77777777" w:rsidR="004C75F7" w:rsidRPr="001A6D5B" w:rsidRDefault="004C75F7" w:rsidP="004C75F7">
      <w:pPr>
        <w:jc w:val="center"/>
        <w:rPr>
          <w:rFonts w:ascii="Garamond" w:hAnsi="Garamond"/>
        </w:rPr>
      </w:pPr>
    </w:p>
    <w:p w14:paraId="1B811190" w14:textId="3045B197" w:rsidR="00CF03D9" w:rsidRDefault="009C7723" w:rsidP="00A0567E">
      <w:pPr>
        <w:rPr>
          <w:rFonts w:ascii="Garamond" w:hAnsi="Garamond"/>
        </w:rPr>
      </w:pPr>
      <w:r>
        <w:rPr>
          <w:rFonts w:ascii="Garamond" w:hAnsi="Garamond"/>
        </w:rPr>
        <w:t xml:space="preserve">Dominican-American writers Junot Díaz, Elizabeth Acevedo, and Amanda </w:t>
      </w:r>
      <w:proofErr w:type="spellStart"/>
      <w:r>
        <w:rPr>
          <w:rFonts w:ascii="Garamond" w:hAnsi="Garamond"/>
        </w:rPr>
        <w:t>Alcántara</w:t>
      </w:r>
      <w:proofErr w:type="spellEnd"/>
      <w:r>
        <w:rPr>
          <w:rFonts w:ascii="Garamond" w:hAnsi="Garamond"/>
        </w:rPr>
        <w:t xml:space="preserve"> are all masters of narrative choice—choosing a powerful combination of languages, identities, formats, and media in their respective works. After reading and reflecting on</w:t>
      </w:r>
      <w:r>
        <w:rPr>
          <w:rFonts w:ascii="Garamond" w:hAnsi="Garamond"/>
        </w:rPr>
        <w:t xml:space="preserve"> Díaz</w:t>
      </w:r>
      <w:r>
        <w:rPr>
          <w:rFonts w:ascii="Garamond" w:hAnsi="Garamond"/>
        </w:rPr>
        <w:t>’s</w:t>
      </w:r>
      <w:r>
        <w:rPr>
          <w:rFonts w:ascii="Garamond" w:hAnsi="Garamond"/>
        </w:rPr>
        <w:t xml:space="preserve"> </w:t>
      </w:r>
      <w:proofErr w:type="spellStart"/>
      <w:r>
        <w:rPr>
          <w:rFonts w:ascii="Garamond" w:hAnsi="Garamond"/>
        </w:rPr>
        <w:t>RapGenius</w:t>
      </w:r>
      <w:proofErr w:type="spellEnd"/>
      <w:r>
        <w:rPr>
          <w:rFonts w:ascii="Garamond" w:hAnsi="Garamond"/>
        </w:rPr>
        <w:t xml:space="preserve"> footnotes/annotations for </w:t>
      </w:r>
      <w:r>
        <w:rPr>
          <w:rFonts w:ascii="Garamond" w:hAnsi="Garamond"/>
          <w:i/>
        </w:rPr>
        <w:t xml:space="preserve">Oscar </w:t>
      </w:r>
      <w:proofErr w:type="spellStart"/>
      <w:r>
        <w:rPr>
          <w:rFonts w:ascii="Garamond" w:hAnsi="Garamond"/>
          <w:i/>
        </w:rPr>
        <w:t>Wao</w:t>
      </w:r>
      <w:proofErr w:type="spellEnd"/>
      <w:r>
        <w:rPr>
          <w:rFonts w:ascii="Garamond" w:hAnsi="Garamond"/>
        </w:rPr>
        <w:t>, Acevedo</w:t>
      </w:r>
      <w:r>
        <w:rPr>
          <w:rFonts w:ascii="Garamond" w:hAnsi="Garamond"/>
        </w:rPr>
        <w:t>’s</w:t>
      </w:r>
      <w:r>
        <w:rPr>
          <w:rFonts w:ascii="Garamond" w:hAnsi="Garamond"/>
        </w:rPr>
        <w:t xml:space="preserve"> YouTube slam poetry, and </w:t>
      </w:r>
      <w:proofErr w:type="spellStart"/>
      <w:r>
        <w:rPr>
          <w:rFonts w:ascii="Garamond" w:hAnsi="Garamond"/>
        </w:rPr>
        <w:t>Alcántara</w:t>
      </w:r>
      <w:r>
        <w:rPr>
          <w:rFonts w:ascii="Garamond" w:hAnsi="Garamond"/>
        </w:rPr>
        <w:t>’s</w:t>
      </w:r>
      <w:proofErr w:type="spellEnd"/>
      <w:r>
        <w:rPr>
          <w:rFonts w:ascii="Garamond" w:hAnsi="Garamond"/>
        </w:rPr>
        <w:t xml:space="preserve"> printed Snapchats in her book, </w:t>
      </w:r>
      <w:r>
        <w:rPr>
          <w:rFonts w:ascii="Garamond" w:hAnsi="Garamond"/>
          <w:i/>
        </w:rPr>
        <w:t>Chula</w:t>
      </w:r>
      <w:r>
        <w:rPr>
          <w:rFonts w:ascii="Garamond" w:hAnsi="Garamond"/>
        </w:rPr>
        <w:t xml:space="preserve">, we will be making narrative choices of our own, in a creative </w:t>
      </w:r>
      <w:r w:rsidR="00A0567E">
        <w:rPr>
          <w:rFonts w:ascii="Garamond" w:hAnsi="Garamond"/>
        </w:rPr>
        <w:t xml:space="preserve">nonfiction </w:t>
      </w:r>
      <w:r>
        <w:rPr>
          <w:rFonts w:ascii="Garamond" w:hAnsi="Garamond"/>
        </w:rPr>
        <w:t xml:space="preserve">work written </w:t>
      </w:r>
      <w:r w:rsidR="00A0567E">
        <w:rPr>
          <w:rFonts w:ascii="Garamond" w:hAnsi="Garamond"/>
        </w:rPr>
        <w:t>on Twine.</w:t>
      </w:r>
    </w:p>
    <w:p w14:paraId="7CBAC452" w14:textId="77777777" w:rsidR="00A0567E" w:rsidRPr="001A6D5B" w:rsidRDefault="00A0567E" w:rsidP="00A0567E">
      <w:pPr>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1275"/>
        <w:gridCol w:w="1344"/>
        <w:gridCol w:w="1453"/>
        <w:gridCol w:w="2580"/>
        <w:gridCol w:w="2692"/>
      </w:tblGrid>
      <w:tr w:rsidR="00A0567E" w:rsidRPr="001A6D5B" w14:paraId="325A769B" w14:textId="77777777" w:rsidTr="007C11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B8EA4" w14:textId="77777777" w:rsidR="00CF03D9" w:rsidRPr="001A6D5B" w:rsidRDefault="00CF03D9" w:rsidP="007E1B9A">
            <w:pPr>
              <w:rPr>
                <w:rFonts w:ascii="Garamond" w:hAnsi="Garamond"/>
              </w:rPr>
            </w:pPr>
            <w:r w:rsidRPr="001A6D5B">
              <w:rPr>
                <w:rFonts w:ascii="Garamond" w:hAnsi="Garamond"/>
                <w:b/>
                <w:bCs/>
                <w:color w:val="000000"/>
              </w:rPr>
              <w:t xml:space="preserve">Genre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EBEE70" w14:textId="77777777" w:rsidR="00CF03D9" w:rsidRPr="001A6D5B" w:rsidRDefault="00CF03D9" w:rsidP="007E1B9A">
            <w:pPr>
              <w:rPr>
                <w:rFonts w:ascii="Garamond" w:hAnsi="Garamond"/>
              </w:rPr>
            </w:pPr>
            <w:r w:rsidRPr="001A6D5B">
              <w:rPr>
                <w:rFonts w:ascii="Garamond" w:hAnsi="Garamond"/>
                <w:b/>
                <w:bCs/>
                <w:color w:val="000000"/>
              </w:rPr>
              <w:t xml:space="preserve">Role </w:t>
            </w:r>
          </w:p>
        </w:tc>
        <w:tc>
          <w:tcPr>
            <w:tcW w:w="1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715C0" w14:textId="77777777" w:rsidR="00CF03D9" w:rsidRPr="001A6D5B" w:rsidRDefault="00CF03D9" w:rsidP="007E1B9A">
            <w:pPr>
              <w:rPr>
                <w:rFonts w:ascii="Garamond" w:hAnsi="Garamond"/>
              </w:rPr>
            </w:pPr>
            <w:r w:rsidRPr="001A6D5B">
              <w:rPr>
                <w:rFonts w:ascii="Garamond" w:hAnsi="Garamond"/>
                <w:b/>
                <w:bCs/>
                <w:color w:val="000000"/>
              </w:rPr>
              <w:t>Audience</w:t>
            </w:r>
          </w:p>
        </w:tc>
        <w:tc>
          <w:tcPr>
            <w:tcW w:w="2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A6980" w14:textId="77777777" w:rsidR="00CF03D9" w:rsidRPr="001A6D5B" w:rsidRDefault="00CF03D9" w:rsidP="007E1B9A">
            <w:pPr>
              <w:rPr>
                <w:rFonts w:ascii="Garamond" w:hAnsi="Garamond"/>
              </w:rPr>
            </w:pPr>
            <w:r w:rsidRPr="001A6D5B">
              <w:rPr>
                <w:rFonts w:ascii="Garamond" w:hAnsi="Garamond"/>
                <w:b/>
                <w:bCs/>
                <w:color w:val="000000"/>
              </w:rPr>
              <w:t>Purpose</w:t>
            </w:r>
          </w:p>
        </w:tc>
        <w:tc>
          <w:tcPr>
            <w:tcW w:w="26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2E2BFE" w14:textId="77777777" w:rsidR="00CF03D9" w:rsidRPr="001A6D5B" w:rsidRDefault="00CF03D9" w:rsidP="007E1B9A">
            <w:pPr>
              <w:ind w:right="-157"/>
              <w:rPr>
                <w:rFonts w:ascii="Garamond" w:hAnsi="Garamond"/>
              </w:rPr>
            </w:pPr>
            <w:r w:rsidRPr="001A6D5B">
              <w:rPr>
                <w:rFonts w:ascii="Garamond" w:hAnsi="Garamond"/>
                <w:b/>
                <w:bCs/>
                <w:color w:val="000000"/>
              </w:rPr>
              <w:t>Rhetorical Situation</w:t>
            </w:r>
          </w:p>
        </w:tc>
      </w:tr>
      <w:tr w:rsidR="00A0567E" w:rsidRPr="001A6D5B" w14:paraId="3D1D95ED" w14:textId="77777777" w:rsidTr="007C116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84EF26" w14:textId="03AFD74E" w:rsidR="00CF03D9" w:rsidRPr="001A6D5B" w:rsidRDefault="00A0567E" w:rsidP="007E1B9A">
            <w:pPr>
              <w:rPr>
                <w:rFonts w:ascii="Garamond" w:hAnsi="Garamond"/>
              </w:rPr>
            </w:pPr>
            <w:r>
              <w:rPr>
                <w:rFonts w:ascii="Garamond" w:hAnsi="Garamond"/>
                <w:color w:val="000000"/>
              </w:rPr>
              <w:t>Interactive Twine narratives</w:t>
            </w:r>
            <w:r w:rsidR="00CF03D9" w:rsidRPr="001A6D5B">
              <w:rPr>
                <w:rFonts w:ascii="Garamond" w:hAnsi="Garamond"/>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D772A7" w14:textId="43491800" w:rsidR="00CF03D9" w:rsidRPr="001A6D5B" w:rsidRDefault="00A0567E" w:rsidP="007E1B9A">
            <w:pPr>
              <w:rPr>
                <w:rFonts w:ascii="Garamond" w:hAnsi="Garamond"/>
              </w:rPr>
            </w:pPr>
            <w:r>
              <w:rPr>
                <w:rFonts w:ascii="Garamond" w:hAnsi="Garamond"/>
                <w:color w:val="000000"/>
              </w:rPr>
              <w:t>Writer and narrative experience designer</w:t>
            </w:r>
          </w:p>
        </w:tc>
        <w:tc>
          <w:tcPr>
            <w:tcW w:w="1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62F15" w14:textId="582AF7A2" w:rsidR="00CF03D9" w:rsidRPr="001A6D5B" w:rsidRDefault="00CF03D9" w:rsidP="007E1B9A">
            <w:pPr>
              <w:rPr>
                <w:rFonts w:ascii="Garamond" w:hAnsi="Garamond"/>
              </w:rPr>
            </w:pPr>
            <w:r>
              <w:rPr>
                <w:rFonts w:ascii="Garamond" w:hAnsi="Garamond"/>
                <w:color w:val="000000"/>
              </w:rPr>
              <w:t xml:space="preserve">General public, </w:t>
            </w:r>
            <w:r w:rsidR="00A0567E">
              <w:rPr>
                <w:rFonts w:ascii="Garamond" w:hAnsi="Garamond"/>
                <w:color w:val="000000"/>
              </w:rPr>
              <w:t>family and friends</w:t>
            </w:r>
          </w:p>
        </w:tc>
        <w:tc>
          <w:tcPr>
            <w:tcW w:w="2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591E3C" w14:textId="14172F01" w:rsidR="00CF03D9" w:rsidRPr="001A6D5B" w:rsidRDefault="00A0567E" w:rsidP="007E1B9A">
            <w:pPr>
              <w:rPr>
                <w:rFonts w:ascii="Garamond" w:hAnsi="Garamond"/>
              </w:rPr>
            </w:pPr>
            <w:r>
              <w:rPr>
                <w:rFonts w:ascii="Garamond" w:hAnsi="Garamond"/>
                <w:color w:val="000000"/>
              </w:rPr>
              <w:t>Designing a creative nonfiction Twine narrative based on your own experience, considering narrative and media choice</w:t>
            </w:r>
          </w:p>
        </w:tc>
        <w:tc>
          <w:tcPr>
            <w:tcW w:w="26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9A2F7" w14:textId="6F001EA2" w:rsidR="00CF03D9" w:rsidRPr="001A6D5B" w:rsidRDefault="00CF03D9" w:rsidP="007E1B9A">
            <w:pPr>
              <w:rPr>
                <w:rFonts w:ascii="Garamond" w:hAnsi="Garamond"/>
              </w:rPr>
            </w:pPr>
            <w:r w:rsidRPr="001A6D5B">
              <w:rPr>
                <w:rFonts w:ascii="Garamond" w:hAnsi="Garamond"/>
                <w:color w:val="000000"/>
              </w:rPr>
              <w:t xml:space="preserve">You </w:t>
            </w:r>
            <w:r>
              <w:rPr>
                <w:rFonts w:ascii="Garamond" w:hAnsi="Garamond"/>
                <w:color w:val="000000"/>
              </w:rPr>
              <w:t xml:space="preserve">are </w:t>
            </w:r>
            <w:r w:rsidR="00A0567E">
              <w:rPr>
                <w:rFonts w:ascii="Garamond" w:hAnsi="Garamond"/>
                <w:color w:val="000000"/>
              </w:rPr>
              <w:t>designing an interactive, narrative experience that provokes questions of both narrative and media choice</w:t>
            </w:r>
          </w:p>
        </w:tc>
      </w:tr>
    </w:tbl>
    <w:p w14:paraId="330D87C8" w14:textId="77777777" w:rsidR="00CF03D9" w:rsidRPr="001A6D5B" w:rsidRDefault="00CF03D9" w:rsidP="00CF03D9">
      <w:pPr>
        <w:spacing w:after="240"/>
        <w:rPr>
          <w:rFonts w:ascii="Garamond" w:hAnsi="Garamond"/>
        </w:rPr>
      </w:pPr>
    </w:p>
    <w:p w14:paraId="10DA0C97" w14:textId="26A2194A" w:rsidR="00A0567E" w:rsidRDefault="00576E70" w:rsidP="00A0567E">
      <w:pPr>
        <w:rPr>
          <w:rFonts w:ascii="Garamond" w:hAnsi="Garamond"/>
        </w:rPr>
      </w:pPr>
      <w:hyperlink r:id="rId7" w:anchor="!/welcome" w:history="1">
        <w:r w:rsidR="00A0567E" w:rsidRPr="00576E70">
          <w:rPr>
            <w:rStyle w:val="Hyperlink"/>
            <w:rFonts w:ascii="Garamond" w:hAnsi="Garamond"/>
          </w:rPr>
          <w:t>Twine</w:t>
        </w:r>
      </w:hyperlink>
      <w:r w:rsidR="00A0567E">
        <w:rPr>
          <w:rFonts w:ascii="Garamond" w:hAnsi="Garamond"/>
        </w:rPr>
        <w:t xml:space="preserve"> is an open source tool that enables writers to create interactive, nonlinear “choose your own adventure” narratives. </w:t>
      </w:r>
      <w:r w:rsidR="00A0567E">
        <w:rPr>
          <w:rFonts w:ascii="Garamond" w:hAnsi="Garamond"/>
        </w:rPr>
        <w:t>Twine will be used as a springboard for conversations not only about narrative choice, but also about the entangled choices of authors and readers, and, most relevantly, choice of language and media. After reading and discussing bilingual multimedia works by Dominican-American writers Junot Díaz (</w:t>
      </w:r>
      <w:proofErr w:type="spellStart"/>
      <w:r w:rsidR="00A0567E">
        <w:rPr>
          <w:rFonts w:ascii="Garamond" w:hAnsi="Garamond"/>
        </w:rPr>
        <w:t>RapGenius</w:t>
      </w:r>
      <w:proofErr w:type="spellEnd"/>
      <w:r w:rsidR="00A0567E">
        <w:rPr>
          <w:rFonts w:ascii="Garamond" w:hAnsi="Garamond"/>
        </w:rPr>
        <w:t xml:space="preserve"> footnotes/annotations for </w:t>
      </w:r>
      <w:r w:rsidR="00A0567E">
        <w:rPr>
          <w:rFonts w:ascii="Garamond" w:hAnsi="Garamond"/>
          <w:i/>
        </w:rPr>
        <w:t xml:space="preserve">Oscar </w:t>
      </w:r>
      <w:proofErr w:type="spellStart"/>
      <w:r w:rsidR="00A0567E">
        <w:rPr>
          <w:rFonts w:ascii="Garamond" w:hAnsi="Garamond"/>
          <w:i/>
        </w:rPr>
        <w:t>Wao</w:t>
      </w:r>
      <w:proofErr w:type="spellEnd"/>
      <w:r w:rsidR="00A0567E">
        <w:rPr>
          <w:rFonts w:ascii="Garamond" w:hAnsi="Garamond"/>
        </w:rPr>
        <w:t xml:space="preserve">), Elizabeth Acevedo (YouTube slam poetry), and Amanda </w:t>
      </w:r>
      <w:proofErr w:type="spellStart"/>
      <w:r w:rsidR="00A0567E">
        <w:rPr>
          <w:rFonts w:ascii="Garamond" w:hAnsi="Garamond"/>
        </w:rPr>
        <w:t>Alcántara</w:t>
      </w:r>
      <w:proofErr w:type="spellEnd"/>
      <w:r w:rsidR="00A0567E">
        <w:rPr>
          <w:rFonts w:ascii="Garamond" w:hAnsi="Garamond"/>
        </w:rPr>
        <w:t xml:space="preserve"> (printed Snapchats in her book, </w:t>
      </w:r>
      <w:r w:rsidR="00A0567E">
        <w:rPr>
          <w:rFonts w:ascii="Garamond" w:hAnsi="Garamond"/>
          <w:i/>
        </w:rPr>
        <w:t>Chula</w:t>
      </w:r>
      <w:r w:rsidR="00A0567E">
        <w:rPr>
          <w:rFonts w:ascii="Garamond" w:hAnsi="Garamond"/>
        </w:rPr>
        <w:t xml:space="preserve">), we will dwell on choices and realities of in-between-ness that these writers make and have, between languages, identity, format, and media. </w:t>
      </w:r>
      <w:r w:rsidR="00A0567E">
        <w:rPr>
          <w:rFonts w:ascii="Garamond" w:hAnsi="Garamond"/>
        </w:rPr>
        <w:t>You</w:t>
      </w:r>
      <w:r w:rsidR="00A0567E">
        <w:rPr>
          <w:rFonts w:ascii="Garamond" w:hAnsi="Garamond"/>
        </w:rPr>
        <w:t xml:space="preserve"> will then create </w:t>
      </w:r>
      <w:r w:rsidR="00A0567E">
        <w:rPr>
          <w:rFonts w:ascii="Garamond" w:hAnsi="Garamond"/>
        </w:rPr>
        <w:t>your</w:t>
      </w:r>
      <w:r w:rsidR="00A0567E">
        <w:rPr>
          <w:rFonts w:ascii="Garamond" w:hAnsi="Garamond"/>
        </w:rPr>
        <w:t xml:space="preserve"> own Twine stories, reflecting on </w:t>
      </w:r>
      <w:r>
        <w:rPr>
          <w:rFonts w:ascii="Garamond" w:hAnsi="Garamond"/>
        </w:rPr>
        <w:t xml:space="preserve">your </w:t>
      </w:r>
      <w:r w:rsidR="00A0567E">
        <w:rPr>
          <w:rFonts w:ascii="Garamond" w:hAnsi="Garamond"/>
        </w:rPr>
        <w:t>own in-between-ness, both in media and identity, through</w:t>
      </w:r>
      <w:r>
        <w:rPr>
          <w:rFonts w:ascii="Garamond" w:hAnsi="Garamond"/>
        </w:rPr>
        <w:t xml:space="preserve"> your</w:t>
      </w:r>
      <w:r w:rsidR="00A0567E">
        <w:rPr>
          <w:rFonts w:ascii="Garamond" w:hAnsi="Garamond"/>
        </w:rPr>
        <w:t xml:space="preserve"> writing</w:t>
      </w:r>
      <w:r w:rsidR="00A0567E">
        <w:rPr>
          <w:rFonts w:ascii="Garamond" w:hAnsi="Garamond"/>
        </w:rPr>
        <w:t xml:space="preserve"> on Twine</w:t>
      </w:r>
      <w:r w:rsidR="00A0567E">
        <w:rPr>
          <w:rFonts w:ascii="Garamond" w:hAnsi="Garamond"/>
        </w:rPr>
        <w:t xml:space="preserve">. </w:t>
      </w:r>
    </w:p>
    <w:p w14:paraId="1BA9366A" w14:textId="77777777" w:rsidR="00CF03D9" w:rsidRDefault="00CF03D9" w:rsidP="00CF03D9">
      <w:pPr>
        <w:textAlignment w:val="baseline"/>
        <w:rPr>
          <w:rFonts w:ascii="Garamond" w:hAnsi="Garamond"/>
          <w:b/>
          <w:color w:val="000000"/>
        </w:rPr>
      </w:pPr>
    </w:p>
    <w:p w14:paraId="45992E37" w14:textId="2A33F0CD" w:rsidR="00CF03D9" w:rsidRPr="001A6D5B" w:rsidRDefault="00CF03D9" w:rsidP="00CF03D9">
      <w:pPr>
        <w:textAlignment w:val="baseline"/>
        <w:rPr>
          <w:rFonts w:ascii="Garamond" w:hAnsi="Garamond"/>
          <w:b/>
          <w:color w:val="000000"/>
        </w:rPr>
      </w:pPr>
      <w:r w:rsidRPr="001A6D5B">
        <w:rPr>
          <w:rFonts w:ascii="Garamond" w:hAnsi="Garamond"/>
          <w:b/>
          <w:color w:val="000000"/>
        </w:rPr>
        <w:t xml:space="preserve">Your </w:t>
      </w:r>
      <w:r w:rsidR="00A0567E">
        <w:rPr>
          <w:rFonts w:ascii="Garamond" w:hAnsi="Garamond"/>
          <w:b/>
          <w:color w:val="000000"/>
        </w:rPr>
        <w:t>Twine narrative</w:t>
      </w:r>
      <w:r w:rsidR="00B5007A">
        <w:rPr>
          <w:rFonts w:ascii="Garamond" w:hAnsi="Garamond"/>
          <w:b/>
          <w:color w:val="000000"/>
        </w:rPr>
        <w:t xml:space="preserve"> </w:t>
      </w:r>
      <w:r w:rsidRPr="001A6D5B">
        <w:rPr>
          <w:rFonts w:ascii="Garamond" w:hAnsi="Garamond"/>
          <w:b/>
          <w:color w:val="000000"/>
        </w:rPr>
        <w:t>will</w:t>
      </w:r>
      <w:r>
        <w:rPr>
          <w:rFonts w:ascii="Garamond" w:hAnsi="Garamond"/>
          <w:b/>
          <w:color w:val="000000"/>
        </w:rPr>
        <w:t xml:space="preserve"> include</w:t>
      </w:r>
      <w:r w:rsidRPr="001A6D5B">
        <w:rPr>
          <w:rFonts w:ascii="Garamond" w:hAnsi="Garamond"/>
          <w:b/>
          <w:color w:val="000000"/>
        </w:rPr>
        <w:t xml:space="preserve">: </w:t>
      </w:r>
    </w:p>
    <w:p w14:paraId="488C6190" w14:textId="6C74E4D5" w:rsidR="00B5007A" w:rsidRDefault="00A0567E" w:rsidP="00B5007A">
      <w:pPr>
        <w:pStyle w:val="ListParagraph"/>
        <w:numPr>
          <w:ilvl w:val="0"/>
          <w:numId w:val="1"/>
        </w:numPr>
        <w:textAlignment w:val="baseline"/>
        <w:rPr>
          <w:rFonts w:ascii="Garamond" w:hAnsi="Garamond"/>
          <w:color w:val="000000"/>
        </w:rPr>
      </w:pPr>
      <w:r>
        <w:rPr>
          <w:rFonts w:ascii="Garamond" w:hAnsi="Garamond"/>
          <w:color w:val="000000"/>
        </w:rPr>
        <w:t>3-4 narrative branches that explore different choices to be made over the course of your work of creative nonfiction</w:t>
      </w:r>
    </w:p>
    <w:p w14:paraId="58E40581" w14:textId="2296E7CB" w:rsidR="00CF03D9" w:rsidRDefault="00A0567E" w:rsidP="00B5007A">
      <w:pPr>
        <w:pStyle w:val="ListParagraph"/>
        <w:numPr>
          <w:ilvl w:val="0"/>
          <w:numId w:val="1"/>
        </w:numPr>
        <w:textAlignment w:val="baseline"/>
        <w:rPr>
          <w:rFonts w:ascii="Garamond" w:hAnsi="Garamond"/>
          <w:color w:val="000000"/>
        </w:rPr>
      </w:pPr>
      <w:r>
        <w:rPr>
          <w:rFonts w:ascii="Garamond" w:hAnsi="Garamond"/>
          <w:color w:val="000000"/>
        </w:rPr>
        <w:t>Well-written narrative prompts guiding readers through the choices in your story.</w:t>
      </w:r>
      <w:r w:rsidR="00CF03D9" w:rsidRPr="00B5007A">
        <w:rPr>
          <w:rFonts w:ascii="Garamond" w:hAnsi="Garamond"/>
          <w:color w:val="000000"/>
        </w:rPr>
        <w:t xml:space="preserve"> What is the story you</w:t>
      </w:r>
      <w:r w:rsidR="00B5007A" w:rsidRPr="00B5007A">
        <w:rPr>
          <w:rFonts w:ascii="Garamond" w:hAnsi="Garamond"/>
          <w:color w:val="000000"/>
        </w:rPr>
        <w:t xml:space="preserve"> are telling? </w:t>
      </w:r>
      <w:r>
        <w:rPr>
          <w:rFonts w:ascii="Garamond" w:hAnsi="Garamond"/>
          <w:color w:val="000000"/>
        </w:rPr>
        <w:t>Why are these the choices we need to make?</w:t>
      </w:r>
    </w:p>
    <w:p w14:paraId="65366EFF" w14:textId="5F0C6672" w:rsidR="00B5007A" w:rsidRDefault="00A0567E" w:rsidP="00B5007A">
      <w:pPr>
        <w:pStyle w:val="ListParagraph"/>
        <w:numPr>
          <w:ilvl w:val="0"/>
          <w:numId w:val="1"/>
        </w:numPr>
        <w:textAlignment w:val="baseline"/>
        <w:rPr>
          <w:rFonts w:ascii="Garamond" w:hAnsi="Garamond"/>
          <w:color w:val="000000"/>
        </w:rPr>
      </w:pPr>
      <w:r>
        <w:rPr>
          <w:rFonts w:ascii="Garamond" w:hAnsi="Garamond"/>
          <w:color w:val="000000"/>
        </w:rPr>
        <w:t>4</w:t>
      </w:r>
      <w:r w:rsidR="00B5007A">
        <w:rPr>
          <w:rFonts w:ascii="Garamond" w:hAnsi="Garamond"/>
          <w:color w:val="000000"/>
        </w:rPr>
        <w:t xml:space="preserve">+ </w:t>
      </w:r>
      <w:r>
        <w:rPr>
          <w:rFonts w:ascii="Garamond" w:hAnsi="Garamond"/>
          <w:color w:val="000000"/>
        </w:rPr>
        <w:t>multimedia (audio/video/images)</w:t>
      </w:r>
      <w:r w:rsidR="00B5007A">
        <w:rPr>
          <w:rFonts w:ascii="Garamond" w:hAnsi="Garamond"/>
          <w:color w:val="000000"/>
        </w:rPr>
        <w:t xml:space="preserve"> </w:t>
      </w:r>
      <w:r>
        <w:rPr>
          <w:rFonts w:ascii="Garamond" w:hAnsi="Garamond"/>
          <w:color w:val="000000"/>
        </w:rPr>
        <w:t xml:space="preserve">sources </w:t>
      </w:r>
      <w:r w:rsidR="00B5007A">
        <w:rPr>
          <w:rFonts w:ascii="Garamond" w:hAnsi="Garamond"/>
          <w:color w:val="000000"/>
        </w:rPr>
        <w:t xml:space="preserve">integrated thoughtfully into your </w:t>
      </w:r>
      <w:r>
        <w:rPr>
          <w:rFonts w:ascii="Garamond" w:hAnsi="Garamond"/>
          <w:color w:val="000000"/>
        </w:rPr>
        <w:t>narrative</w:t>
      </w:r>
    </w:p>
    <w:p w14:paraId="0CD1BC6E" w14:textId="09E3CBBE" w:rsidR="00B5007A" w:rsidRPr="00B5007A" w:rsidRDefault="00B16A86" w:rsidP="00B5007A">
      <w:pPr>
        <w:pStyle w:val="ListParagraph"/>
        <w:numPr>
          <w:ilvl w:val="0"/>
          <w:numId w:val="1"/>
        </w:numPr>
        <w:textAlignment w:val="baseline"/>
        <w:rPr>
          <w:rFonts w:ascii="Garamond" w:hAnsi="Garamond"/>
          <w:color w:val="000000"/>
        </w:rPr>
      </w:pPr>
      <w:r>
        <w:rPr>
          <w:rFonts w:ascii="Garamond" w:hAnsi="Garamond"/>
          <w:color w:val="000000"/>
        </w:rPr>
        <w:t>MLA</w:t>
      </w:r>
      <w:r w:rsidR="00B5007A">
        <w:rPr>
          <w:rFonts w:ascii="Garamond" w:hAnsi="Garamond"/>
          <w:color w:val="000000"/>
        </w:rPr>
        <w:t xml:space="preserve"> style citation</w:t>
      </w:r>
      <w:r>
        <w:rPr>
          <w:rFonts w:ascii="Garamond" w:hAnsi="Garamond"/>
          <w:color w:val="000000"/>
        </w:rPr>
        <w:t>s</w:t>
      </w:r>
      <w:r w:rsidR="00B5007A">
        <w:rPr>
          <w:rFonts w:ascii="Garamond" w:hAnsi="Garamond"/>
          <w:color w:val="000000"/>
        </w:rPr>
        <w:t xml:space="preserve"> </w:t>
      </w:r>
      <w:r w:rsidR="00A0567E">
        <w:rPr>
          <w:rFonts w:ascii="Garamond" w:hAnsi="Garamond"/>
          <w:color w:val="000000"/>
        </w:rPr>
        <w:t>for any sources used</w:t>
      </w:r>
    </w:p>
    <w:p w14:paraId="75BC5344" w14:textId="77777777" w:rsidR="00B5007A" w:rsidRPr="00B5007A" w:rsidRDefault="00B5007A" w:rsidP="00B5007A">
      <w:pPr>
        <w:textAlignment w:val="baseline"/>
        <w:rPr>
          <w:rFonts w:ascii="Garamond" w:hAnsi="Garamond"/>
          <w:color w:val="000000"/>
        </w:rPr>
      </w:pPr>
    </w:p>
    <w:p w14:paraId="6F95CBE4" w14:textId="77777777" w:rsidR="00A0567E" w:rsidRDefault="00A0567E" w:rsidP="00B16A86">
      <w:pPr>
        <w:rPr>
          <w:rFonts w:ascii="Garamond" w:hAnsi="Garamond"/>
          <w:color w:val="000000"/>
        </w:rPr>
      </w:pPr>
    </w:p>
    <w:p w14:paraId="3494C200" w14:textId="7848D56F" w:rsidR="00A0567E" w:rsidRDefault="00A0567E" w:rsidP="00B16A86">
      <w:pPr>
        <w:rPr>
          <w:rFonts w:ascii="Garamond" w:hAnsi="Garamond"/>
          <w:color w:val="000000"/>
        </w:rPr>
      </w:pPr>
      <w:r>
        <w:rPr>
          <w:rFonts w:ascii="Garamond" w:hAnsi="Garamond"/>
          <w:color w:val="000000"/>
        </w:rPr>
        <w:t xml:space="preserve">A guide to get started with Twine is </w:t>
      </w:r>
      <w:hyperlink r:id="rId8" w:history="1">
        <w:r w:rsidRPr="00A0567E">
          <w:rPr>
            <w:rStyle w:val="Hyperlink"/>
            <w:rFonts w:ascii="Garamond" w:hAnsi="Garamond"/>
          </w:rPr>
          <w:t>linked here</w:t>
        </w:r>
      </w:hyperlink>
      <w:r>
        <w:rPr>
          <w:rFonts w:ascii="Garamond" w:hAnsi="Garamond"/>
          <w:color w:val="000000"/>
        </w:rPr>
        <w:t xml:space="preserve">. </w:t>
      </w:r>
    </w:p>
    <w:p w14:paraId="2FACE0F2" w14:textId="77777777" w:rsidR="00A0567E" w:rsidRDefault="00A0567E" w:rsidP="00B16A86">
      <w:pPr>
        <w:rPr>
          <w:rFonts w:ascii="Garamond" w:hAnsi="Garamond"/>
          <w:color w:val="000000"/>
        </w:rPr>
      </w:pPr>
    </w:p>
    <w:p w14:paraId="7E7E1AD4" w14:textId="22202A60" w:rsidR="00A0567E" w:rsidRDefault="00A0567E" w:rsidP="00B16A86">
      <w:pPr>
        <w:rPr>
          <w:rFonts w:ascii="Garamond" w:hAnsi="Garamond"/>
          <w:color w:val="000000"/>
        </w:rPr>
      </w:pPr>
      <w:r>
        <w:rPr>
          <w:rFonts w:ascii="Garamond" w:hAnsi="Garamond"/>
          <w:color w:val="000000"/>
        </w:rPr>
        <w:t xml:space="preserve">Examples of successful Twine narratives </w:t>
      </w:r>
      <w:hyperlink r:id="rId9" w:history="1">
        <w:r w:rsidRPr="00576E70">
          <w:rPr>
            <w:rStyle w:val="Hyperlink"/>
            <w:rFonts w:ascii="Garamond" w:hAnsi="Garamond"/>
          </w:rPr>
          <w:t>are linked here</w:t>
        </w:r>
      </w:hyperlink>
      <w:r>
        <w:rPr>
          <w:rFonts w:ascii="Garamond" w:hAnsi="Garamond"/>
          <w:color w:val="000000"/>
        </w:rPr>
        <w:t>.</w:t>
      </w:r>
    </w:p>
    <w:p w14:paraId="6EA8F527" w14:textId="77777777" w:rsidR="00A0567E" w:rsidRDefault="00A0567E" w:rsidP="00B16A86">
      <w:pPr>
        <w:rPr>
          <w:rFonts w:ascii="Garamond" w:eastAsiaTheme="minorHAnsi" w:hAnsi="Garamond" w:cs="Garamond"/>
          <w:b/>
          <w:color w:val="000000"/>
          <w:sz w:val="23"/>
          <w:szCs w:val="23"/>
        </w:rPr>
      </w:pPr>
    </w:p>
    <w:p w14:paraId="264DD18A" w14:textId="77777777" w:rsidR="00A0567E" w:rsidRDefault="00A0567E" w:rsidP="00B16A86">
      <w:pPr>
        <w:rPr>
          <w:rFonts w:ascii="Garamond" w:eastAsiaTheme="minorHAnsi" w:hAnsi="Garamond" w:cs="Garamond"/>
          <w:b/>
          <w:color w:val="000000"/>
          <w:sz w:val="23"/>
          <w:szCs w:val="23"/>
        </w:rPr>
      </w:pPr>
    </w:p>
    <w:p w14:paraId="654EEBF2" w14:textId="77777777" w:rsidR="00A0567E" w:rsidRDefault="00A0567E" w:rsidP="00B16A86">
      <w:pPr>
        <w:rPr>
          <w:rFonts w:ascii="Garamond" w:eastAsiaTheme="minorHAnsi" w:hAnsi="Garamond" w:cs="Garamond"/>
          <w:b/>
          <w:color w:val="000000"/>
          <w:sz w:val="23"/>
          <w:szCs w:val="23"/>
        </w:rPr>
      </w:pPr>
    </w:p>
    <w:p w14:paraId="0499079B" w14:textId="163E675A" w:rsidR="00A0567E" w:rsidRDefault="00A0567E" w:rsidP="00B16A86">
      <w:pPr>
        <w:rPr>
          <w:rFonts w:ascii="Garamond" w:eastAsiaTheme="minorHAnsi" w:hAnsi="Garamond" w:cs="Garamond"/>
          <w:b/>
          <w:color w:val="000000"/>
          <w:sz w:val="23"/>
          <w:szCs w:val="23"/>
        </w:rPr>
      </w:pPr>
    </w:p>
    <w:p w14:paraId="730FAD73" w14:textId="77777777" w:rsidR="00A0567E" w:rsidRDefault="00A0567E" w:rsidP="00B16A86">
      <w:pPr>
        <w:rPr>
          <w:rFonts w:ascii="Garamond" w:eastAsiaTheme="minorHAnsi" w:hAnsi="Garamond" w:cs="Garamond"/>
          <w:b/>
          <w:color w:val="000000"/>
          <w:sz w:val="23"/>
          <w:szCs w:val="23"/>
        </w:rPr>
      </w:pPr>
    </w:p>
    <w:p w14:paraId="6FD3098C" w14:textId="16C7A887" w:rsidR="00B5007A" w:rsidRPr="00B16A86" w:rsidRDefault="00B5007A" w:rsidP="00B16A86">
      <w:pPr>
        <w:rPr>
          <w:rFonts w:ascii="Garamond" w:hAnsi="Garamond"/>
        </w:rPr>
      </w:pPr>
      <w:r w:rsidRPr="00B16A86">
        <w:rPr>
          <w:rFonts w:ascii="Garamond" w:eastAsiaTheme="minorHAnsi" w:hAnsi="Garamond" w:cs="Garamond"/>
          <w:b/>
          <w:color w:val="000000"/>
          <w:sz w:val="23"/>
          <w:szCs w:val="23"/>
        </w:rPr>
        <w:lastRenderedPageBreak/>
        <w:t>Guiding questions:</w:t>
      </w:r>
      <w:r w:rsidRPr="00B16A86">
        <w:rPr>
          <w:rFonts w:ascii="Garamond" w:eastAsiaTheme="minorHAnsi" w:hAnsi="Garamond" w:cs="Garamond"/>
          <w:color w:val="000000"/>
          <w:sz w:val="23"/>
          <w:szCs w:val="23"/>
        </w:rPr>
        <w:t xml:space="preserve"> </w:t>
      </w:r>
      <w:r w:rsidR="009C7723">
        <w:rPr>
          <w:rFonts w:ascii="Garamond" w:hAnsi="Garamond"/>
          <w:i/>
        </w:rPr>
        <w:t>How do writers make choices of language, identity, and format in their writing? What are the affordances and limitations of incorporating multiple mediums into a single work of art or literature?</w:t>
      </w:r>
    </w:p>
    <w:p w14:paraId="2AC03A64" w14:textId="77777777" w:rsidR="00B5007A" w:rsidRDefault="00B5007A" w:rsidP="00CF03D9">
      <w:pPr>
        <w:rPr>
          <w:rFonts w:ascii="Garamond" w:hAnsi="Garamond"/>
          <w:b/>
          <w:bCs/>
          <w:color w:val="000000"/>
        </w:rPr>
      </w:pPr>
    </w:p>
    <w:p w14:paraId="0C000BBA" w14:textId="0BAD5443" w:rsidR="00CF03D9" w:rsidRDefault="00CF03D9" w:rsidP="00CF03D9">
      <w:pPr>
        <w:rPr>
          <w:rFonts w:ascii="Garamond" w:hAnsi="Garamond"/>
          <w:b/>
          <w:bCs/>
          <w:color w:val="000000"/>
        </w:rPr>
      </w:pPr>
      <w:r w:rsidRPr="001A6D5B">
        <w:rPr>
          <w:rFonts w:ascii="Garamond" w:hAnsi="Garamond"/>
          <w:b/>
          <w:bCs/>
          <w:color w:val="000000"/>
        </w:rPr>
        <w:t xml:space="preserve">FEEDER </w:t>
      </w:r>
      <w:r w:rsidR="00C4502B">
        <w:rPr>
          <w:rFonts w:ascii="Garamond" w:hAnsi="Garamond"/>
          <w:b/>
          <w:bCs/>
          <w:color w:val="000000"/>
        </w:rPr>
        <w:t>3</w:t>
      </w:r>
      <w:r w:rsidRPr="001A6D5B">
        <w:rPr>
          <w:rFonts w:ascii="Garamond" w:hAnsi="Garamond"/>
          <w:b/>
          <w:bCs/>
          <w:color w:val="000000"/>
        </w:rPr>
        <w:t xml:space="preserve">.1: </w:t>
      </w:r>
      <w:r w:rsidR="00A53E19">
        <w:rPr>
          <w:rFonts w:ascii="Garamond" w:hAnsi="Garamond"/>
          <w:b/>
          <w:bCs/>
          <w:color w:val="000000"/>
        </w:rPr>
        <w:t>Close Reading</w:t>
      </w:r>
    </w:p>
    <w:p w14:paraId="7497AB4B" w14:textId="63868011" w:rsidR="00CF03D9" w:rsidRPr="001A6D5B" w:rsidRDefault="00CF03D9" w:rsidP="00CF03D9">
      <w:pPr>
        <w:rPr>
          <w:rFonts w:ascii="Garamond" w:hAnsi="Garamond"/>
          <w:b/>
          <w:bCs/>
          <w:color w:val="000000"/>
        </w:rPr>
      </w:pPr>
      <w:r>
        <w:rPr>
          <w:rFonts w:ascii="Garamond" w:hAnsi="Garamond"/>
          <w:b/>
          <w:bCs/>
          <w:color w:val="000000"/>
        </w:rPr>
        <w:t xml:space="preserve">due </w:t>
      </w:r>
      <w:r w:rsidR="00C4502B">
        <w:rPr>
          <w:rFonts w:ascii="Garamond" w:hAnsi="Garamond"/>
          <w:b/>
          <w:bCs/>
          <w:color w:val="000000"/>
        </w:rPr>
        <w:t>April 9</w:t>
      </w:r>
      <w:r w:rsidR="00B16A86">
        <w:rPr>
          <w:rFonts w:ascii="Garamond" w:hAnsi="Garamond"/>
          <w:b/>
          <w:bCs/>
          <w:color w:val="000000"/>
        </w:rPr>
        <w:t>, 2021</w:t>
      </w:r>
    </w:p>
    <w:p w14:paraId="65C995A3" w14:textId="435B8D45" w:rsidR="00A53E19" w:rsidRPr="0030764B" w:rsidRDefault="00A53E19" w:rsidP="00A53E19">
      <w:pPr>
        <w:rPr>
          <w:rFonts w:ascii="Garamond" w:hAnsi="Garamond"/>
        </w:rPr>
      </w:pPr>
      <w:r w:rsidRPr="0030764B">
        <w:rPr>
          <w:rFonts w:ascii="Garamond" w:hAnsi="Garamond"/>
          <w:color w:val="000000"/>
        </w:rPr>
        <w:t>Compose a 2-page close reading of your chosen wor</w:t>
      </w:r>
      <w:r>
        <w:rPr>
          <w:rFonts w:ascii="Garamond" w:hAnsi="Garamond"/>
          <w:color w:val="000000"/>
        </w:rPr>
        <w:t>k from Diaz, Acevedo, or Alcantara</w:t>
      </w:r>
      <w:r>
        <w:rPr>
          <w:rFonts w:ascii="Garamond" w:hAnsi="Garamond"/>
          <w:color w:val="000000"/>
        </w:rPr>
        <w:t xml:space="preserve">. </w:t>
      </w:r>
      <w:r w:rsidRPr="0030764B">
        <w:rPr>
          <w:rFonts w:ascii="Garamond" w:hAnsi="Garamond"/>
          <w:color w:val="000000"/>
        </w:rPr>
        <w:t xml:space="preserve">Bear in mind that a close reading does not integrate research and does not offer an argument about the work of art. Rather, a close reading provides an explication </w:t>
      </w:r>
      <w:r>
        <w:rPr>
          <w:rFonts w:ascii="Garamond" w:hAnsi="Garamond"/>
          <w:color w:val="000000"/>
        </w:rPr>
        <w:t>of a work of literature</w:t>
      </w:r>
      <w:r w:rsidRPr="0030764B">
        <w:rPr>
          <w:rFonts w:ascii="Garamond" w:hAnsi="Garamond"/>
          <w:color w:val="000000"/>
        </w:rPr>
        <w:t xml:space="preserve"> based on its </w:t>
      </w:r>
      <w:r>
        <w:rPr>
          <w:rFonts w:ascii="Garamond" w:hAnsi="Garamond"/>
          <w:color w:val="000000"/>
        </w:rPr>
        <w:t>stylistic</w:t>
      </w:r>
      <w:r w:rsidRPr="0030764B">
        <w:rPr>
          <w:rFonts w:ascii="Garamond" w:hAnsi="Garamond"/>
          <w:color w:val="000000"/>
        </w:rPr>
        <w:t xml:space="preserve"> qualities. </w:t>
      </w:r>
      <w:r w:rsidRPr="00A96D18">
        <w:rPr>
          <w:rFonts w:ascii="Garamond" w:hAnsi="Garamond"/>
          <w:color w:val="000000"/>
        </w:rPr>
        <w:t>Look for patterns in the things you've noticed about the text—repetitions, contradictions, similarities.</w:t>
      </w:r>
      <w:r>
        <w:rPr>
          <w:rFonts w:ascii="Garamond" w:hAnsi="Garamond"/>
          <w:color w:val="000000"/>
        </w:rPr>
        <w:t xml:space="preserve"> And then a</w:t>
      </w:r>
      <w:r w:rsidRPr="00A96D18">
        <w:rPr>
          <w:rFonts w:ascii="Garamond" w:hAnsi="Garamond"/>
          <w:color w:val="000000"/>
        </w:rPr>
        <w:t xml:space="preserve">sk questions about the patterns you've noticed—especially </w:t>
      </w:r>
      <w:r>
        <w:rPr>
          <w:rFonts w:ascii="Garamond" w:hAnsi="Garamond"/>
          <w:color w:val="000000"/>
        </w:rPr>
        <w:t>‘</w:t>
      </w:r>
      <w:r w:rsidRPr="00A96D18">
        <w:rPr>
          <w:rFonts w:ascii="Garamond" w:hAnsi="Garamond"/>
          <w:color w:val="000000"/>
        </w:rPr>
        <w:t>how</w:t>
      </w:r>
      <w:r>
        <w:rPr>
          <w:rFonts w:ascii="Garamond" w:hAnsi="Garamond"/>
          <w:color w:val="000000"/>
        </w:rPr>
        <w:t>’</w:t>
      </w:r>
      <w:r w:rsidRPr="00A96D18">
        <w:rPr>
          <w:rFonts w:ascii="Garamond" w:hAnsi="Garamond"/>
          <w:color w:val="000000"/>
        </w:rPr>
        <w:t xml:space="preserve"> and </w:t>
      </w:r>
      <w:r>
        <w:rPr>
          <w:rFonts w:ascii="Garamond" w:hAnsi="Garamond"/>
          <w:color w:val="000000"/>
        </w:rPr>
        <w:t>‘</w:t>
      </w:r>
      <w:r w:rsidRPr="00A96D18">
        <w:rPr>
          <w:rFonts w:ascii="Garamond" w:hAnsi="Garamond"/>
          <w:color w:val="000000"/>
        </w:rPr>
        <w:t>why</w:t>
      </w:r>
      <w:r>
        <w:rPr>
          <w:rFonts w:ascii="Garamond" w:hAnsi="Garamond"/>
          <w:color w:val="000000"/>
        </w:rPr>
        <w:t>’ questions</w:t>
      </w:r>
      <w:r w:rsidRPr="00A96D18">
        <w:rPr>
          <w:rFonts w:ascii="Garamond" w:hAnsi="Garamond"/>
          <w:color w:val="000000"/>
        </w:rPr>
        <w:t>.</w:t>
      </w:r>
      <w:r>
        <w:rPr>
          <w:rFonts w:ascii="Garamond" w:hAnsi="Garamond"/>
        </w:rPr>
        <w:t xml:space="preserve"> </w:t>
      </w:r>
      <w:r w:rsidRPr="0030764B">
        <w:rPr>
          <w:rFonts w:ascii="Garamond" w:hAnsi="Garamond"/>
          <w:color w:val="000000"/>
        </w:rPr>
        <w:t xml:space="preserve">The goal of this close reading is to “unfold” </w:t>
      </w:r>
      <w:r>
        <w:rPr>
          <w:rFonts w:ascii="Garamond" w:hAnsi="Garamond"/>
          <w:color w:val="000000"/>
        </w:rPr>
        <w:t>the world your chosen author builds in their work</w:t>
      </w:r>
      <w:r w:rsidRPr="0030764B">
        <w:rPr>
          <w:rFonts w:ascii="Garamond" w:hAnsi="Garamond"/>
          <w:color w:val="000000"/>
        </w:rPr>
        <w:t xml:space="preserve"> and </w:t>
      </w:r>
      <w:r>
        <w:rPr>
          <w:rFonts w:ascii="Garamond" w:hAnsi="Garamond"/>
          <w:color w:val="000000"/>
        </w:rPr>
        <w:t xml:space="preserve">to </w:t>
      </w:r>
      <w:r w:rsidRPr="0030764B">
        <w:rPr>
          <w:rFonts w:ascii="Garamond" w:hAnsi="Garamond"/>
          <w:color w:val="000000"/>
        </w:rPr>
        <w:t xml:space="preserve">explain </w:t>
      </w:r>
      <w:r>
        <w:rPr>
          <w:rFonts w:ascii="Garamond" w:hAnsi="Garamond"/>
          <w:color w:val="000000"/>
        </w:rPr>
        <w:t>its values, what it’s</w:t>
      </w:r>
      <w:r w:rsidRPr="0030764B">
        <w:rPr>
          <w:rFonts w:ascii="Garamond" w:hAnsi="Garamond"/>
          <w:color w:val="000000"/>
        </w:rPr>
        <w:t xml:space="preserve"> made of, and how some of its </w:t>
      </w:r>
      <w:r>
        <w:rPr>
          <w:rFonts w:ascii="Garamond" w:hAnsi="Garamond"/>
          <w:color w:val="000000"/>
        </w:rPr>
        <w:t>social, economic, and cultural forces</w:t>
      </w:r>
      <w:r w:rsidRPr="0030764B">
        <w:rPr>
          <w:rFonts w:ascii="Garamond" w:hAnsi="Garamond"/>
          <w:color w:val="000000"/>
        </w:rPr>
        <w:t xml:space="preserve"> work together. </w:t>
      </w:r>
    </w:p>
    <w:p w14:paraId="28442258" w14:textId="77777777" w:rsidR="00CF03D9" w:rsidRPr="001A6D5B" w:rsidRDefault="00CF03D9" w:rsidP="00CF03D9">
      <w:pPr>
        <w:rPr>
          <w:rFonts w:ascii="Garamond" w:hAnsi="Garamond"/>
        </w:rPr>
      </w:pPr>
    </w:p>
    <w:p w14:paraId="58E647A2" w14:textId="16072548" w:rsidR="00CF03D9" w:rsidRDefault="00CF03D9" w:rsidP="00CF03D9">
      <w:pPr>
        <w:rPr>
          <w:rFonts w:ascii="Garamond" w:hAnsi="Garamond"/>
          <w:b/>
          <w:bCs/>
          <w:color w:val="000000"/>
        </w:rPr>
      </w:pPr>
      <w:r w:rsidRPr="001A6D5B">
        <w:rPr>
          <w:rFonts w:ascii="Garamond" w:hAnsi="Garamond"/>
          <w:b/>
          <w:bCs/>
          <w:color w:val="000000"/>
        </w:rPr>
        <w:t xml:space="preserve">FEEDER </w:t>
      </w:r>
      <w:r w:rsidR="00A53E19">
        <w:rPr>
          <w:rFonts w:ascii="Garamond" w:hAnsi="Garamond"/>
          <w:b/>
          <w:bCs/>
          <w:color w:val="000000"/>
        </w:rPr>
        <w:t>3</w:t>
      </w:r>
      <w:r w:rsidRPr="001A6D5B">
        <w:rPr>
          <w:rFonts w:ascii="Garamond" w:hAnsi="Garamond"/>
          <w:b/>
          <w:bCs/>
          <w:color w:val="000000"/>
        </w:rPr>
        <w:t xml:space="preserve">.2: </w:t>
      </w:r>
      <w:r w:rsidR="00A53E19">
        <w:rPr>
          <w:rFonts w:ascii="Garamond" w:hAnsi="Garamond"/>
          <w:b/>
          <w:bCs/>
          <w:color w:val="000000"/>
        </w:rPr>
        <w:t>Twine Narrative Drafts</w:t>
      </w:r>
      <w:r w:rsidRPr="001A6D5B">
        <w:rPr>
          <w:rFonts w:ascii="Garamond" w:hAnsi="Garamond"/>
          <w:b/>
          <w:bCs/>
          <w:color w:val="000000"/>
        </w:rPr>
        <w:t xml:space="preserve"> </w:t>
      </w:r>
    </w:p>
    <w:p w14:paraId="45C9AADC" w14:textId="70CAFCAB" w:rsidR="00CF03D9" w:rsidRPr="001A6D5B" w:rsidRDefault="00A53E19" w:rsidP="00CF03D9">
      <w:pPr>
        <w:rPr>
          <w:rFonts w:ascii="Garamond" w:hAnsi="Garamond"/>
          <w:b/>
          <w:bCs/>
          <w:color w:val="000000"/>
        </w:rPr>
      </w:pPr>
      <w:r>
        <w:rPr>
          <w:rFonts w:ascii="Garamond" w:hAnsi="Garamond"/>
          <w:b/>
          <w:bCs/>
          <w:color w:val="000000"/>
        </w:rPr>
        <w:t>April 23</w:t>
      </w:r>
      <w:r w:rsidR="00B16A86">
        <w:rPr>
          <w:rFonts w:ascii="Garamond" w:hAnsi="Garamond"/>
          <w:b/>
          <w:bCs/>
          <w:color w:val="000000"/>
        </w:rPr>
        <w:t>, 2021</w:t>
      </w:r>
    </w:p>
    <w:p w14:paraId="456E3683" w14:textId="2BA4A754" w:rsidR="00CF03D9" w:rsidRDefault="00A53E19" w:rsidP="00CF03D9">
      <w:pPr>
        <w:rPr>
          <w:rFonts w:ascii="Garamond" w:hAnsi="Garamond"/>
          <w:color w:val="000000"/>
        </w:rPr>
      </w:pPr>
      <w:r w:rsidRPr="0030764B">
        <w:rPr>
          <w:rFonts w:ascii="Garamond" w:hAnsi="Garamond"/>
          <w:color w:val="000000"/>
        </w:rPr>
        <w:t xml:space="preserve">Your work of creative nonfiction is your own. For this assignment, we will not create an appropriate format that all essays should follow. Rather, your essay will take whatever shape it needs to in order to tell the story you wish to tell your reader. Your essay will be </w:t>
      </w:r>
      <w:r>
        <w:rPr>
          <w:rFonts w:ascii="Garamond" w:hAnsi="Garamond"/>
          <w:color w:val="000000"/>
        </w:rPr>
        <w:t xml:space="preserve">around 1500 </w:t>
      </w:r>
      <w:r w:rsidRPr="0030764B">
        <w:rPr>
          <w:rFonts w:ascii="Garamond" w:hAnsi="Garamond"/>
          <w:color w:val="000000"/>
        </w:rPr>
        <w:t>words</w:t>
      </w:r>
      <w:r>
        <w:rPr>
          <w:rFonts w:ascii="Garamond" w:hAnsi="Garamond"/>
          <w:color w:val="000000"/>
        </w:rPr>
        <w:t xml:space="preserve"> and should include 3-4 narrative branches or choices.</w:t>
      </w:r>
    </w:p>
    <w:p w14:paraId="7F6D12D3" w14:textId="77777777" w:rsidR="00A53E19" w:rsidRPr="001A6D5B" w:rsidRDefault="00A53E19" w:rsidP="00CF03D9">
      <w:pPr>
        <w:rPr>
          <w:rFonts w:ascii="Garamond" w:hAnsi="Garamond"/>
        </w:rPr>
      </w:pPr>
    </w:p>
    <w:p w14:paraId="302E1A67" w14:textId="2ACB0FC8" w:rsidR="00CF03D9" w:rsidRDefault="00CF03D9" w:rsidP="00CF03D9">
      <w:pPr>
        <w:rPr>
          <w:rFonts w:ascii="Garamond" w:hAnsi="Garamond"/>
          <w:b/>
          <w:bCs/>
          <w:color w:val="000000"/>
        </w:rPr>
      </w:pPr>
      <w:r w:rsidRPr="001A6D5B">
        <w:rPr>
          <w:rFonts w:ascii="Garamond" w:hAnsi="Garamond"/>
          <w:b/>
          <w:bCs/>
          <w:color w:val="000000"/>
        </w:rPr>
        <w:t xml:space="preserve">UNIT ASSIGNMENT: </w:t>
      </w:r>
      <w:r w:rsidR="00A53E19">
        <w:rPr>
          <w:rFonts w:ascii="Garamond" w:hAnsi="Garamond"/>
          <w:b/>
          <w:bCs/>
          <w:color w:val="000000"/>
        </w:rPr>
        <w:t>Twine Narrative</w:t>
      </w:r>
    </w:p>
    <w:p w14:paraId="17C0BC54" w14:textId="5B0ADC38" w:rsidR="00CF03D9" w:rsidRPr="00CF03D9" w:rsidRDefault="00CF03D9" w:rsidP="00CF03D9">
      <w:pPr>
        <w:rPr>
          <w:rFonts w:ascii="Garamond" w:hAnsi="Garamond"/>
          <w:b/>
        </w:rPr>
      </w:pPr>
      <w:r>
        <w:rPr>
          <w:rFonts w:ascii="Garamond" w:hAnsi="Garamond"/>
          <w:b/>
        </w:rPr>
        <w:t xml:space="preserve">due </w:t>
      </w:r>
      <w:r w:rsidR="00A53E19">
        <w:rPr>
          <w:rFonts w:ascii="Garamond" w:hAnsi="Garamond"/>
          <w:b/>
        </w:rPr>
        <w:t>May 4</w:t>
      </w:r>
      <w:r w:rsidR="00B16A86">
        <w:rPr>
          <w:rFonts w:ascii="Garamond" w:hAnsi="Garamond"/>
          <w:b/>
        </w:rPr>
        <w:t>, 2021</w:t>
      </w:r>
    </w:p>
    <w:p w14:paraId="2D336F6A" w14:textId="50545107" w:rsidR="00A53E19" w:rsidRDefault="00A53E19" w:rsidP="00A53E19">
      <w:pPr>
        <w:rPr>
          <w:rFonts w:ascii="Garamond" w:hAnsi="Garamond"/>
        </w:rPr>
      </w:pPr>
      <w:r>
        <w:rPr>
          <w:rFonts w:ascii="Garamond" w:hAnsi="Garamond"/>
        </w:rPr>
        <w:t>Your</w:t>
      </w:r>
      <w:r>
        <w:rPr>
          <w:rFonts w:ascii="Garamond" w:hAnsi="Garamond"/>
        </w:rPr>
        <w:t xml:space="preserve"> own Twine stories</w:t>
      </w:r>
      <w:r>
        <w:rPr>
          <w:rFonts w:ascii="Garamond" w:hAnsi="Garamond"/>
        </w:rPr>
        <w:t xml:space="preserve"> will reflect</w:t>
      </w:r>
      <w:r>
        <w:rPr>
          <w:rFonts w:ascii="Garamond" w:hAnsi="Garamond"/>
        </w:rPr>
        <w:t xml:space="preserve"> on your own in-between-ness, both in media and identity</w:t>
      </w:r>
      <w:r>
        <w:rPr>
          <w:rFonts w:ascii="Garamond" w:hAnsi="Garamond"/>
        </w:rPr>
        <w:t>.</w:t>
      </w:r>
    </w:p>
    <w:p w14:paraId="29460D40" w14:textId="77777777" w:rsidR="00A53E19" w:rsidRDefault="00A53E19" w:rsidP="00A53E19">
      <w:pPr>
        <w:textAlignment w:val="baseline"/>
        <w:rPr>
          <w:rFonts w:ascii="Garamond" w:hAnsi="Garamond"/>
          <w:b/>
          <w:color w:val="000000"/>
        </w:rPr>
      </w:pPr>
    </w:p>
    <w:p w14:paraId="7F771E9F" w14:textId="77777777" w:rsidR="00A53E19" w:rsidRPr="001A6D5B" w:rsidRDefault="00A53E19" w:rsidP="00A53E19">
      <w:pPr>
        <w:textAlignment w:val="baseline"/>
        <w:rPr>
          <w:rFonts w:ascii="Garamond" w:hAnsi="Garamond"/>
          <w:b/>
          <w:color w:val="000000"/>
        </w:rPr>
      </w:pPr>
      <w:r w:rsidRPr="001A6D5B">
        <w:rPr>
          <w:rFonts w:ascii="Garamond" w:hAnsi="Garamond"/>
          <w:b/>
          <w:color w:val="000000"/>
        </w:rPr>
        <w:t xml:space="preserve">Your </w:t>
      </w:r>
      <w:r>
        <w:rPr>
          <w:rFonts w:ascii="Garamond" w:hAnsi="Garamond"/>
          <w:b/>
          <w:color w:val="000000"/>
        </w:rPr>
        <w:t xml:space="preserve">Twine narrative </w:t>
      </w:r>
      <w:r w:rsidRPr="001A6D5B">
        <w:rPr>
          <w:rFonts w:ascii="Garamond" w:hAnsi="Garamond"/>
          <w:b/>
          <w:color w:val="000000"/>
        </w:rPr>
        <w:t>will</w:t>
      </w:r>
      <w:r>
        <w:rPr>
          <w:rFonts w:ascii="Garamond" w:hAnsi="Garamond"/>
          <w:b/>
          <w:color w:val="000000"/>
        </w:rPr>
        <w:t xml:space="preserve"> include</w:t>
      </w:r>
      <w:r w:rsidRPr="001A6D5B">
        <w:rPr>
          <w:rFonts w:ascii="Garamond" w:hAnsi="Garamond"/>
          <w:b/>
          <w:color w:val="000000"/>
        </w:rPr>
        <w:t xml:space="preserve">: </w:t>
      </w:r>
    </w:p>
    <w:p w14:paraId="17DEB9D1" w14:textId="77777777" w:rsidR="00A53E19" w:rsidRDefault="00A53E19" w:rsidP="00A53E19">
      <w:pPr>
        <w:pStyle w:val="ListParagraph"/>
        <w:numPr>
          <w:ilvl w:val="0"/>
          <w:numId w:val="1"/>
        </w:numPr>
        <w:textAlignment w:val="baseline"/>
        <w:rPr>
          <w:rFonts w:ascii="Garamond" w:hAnsi="Garamond"/>
          <w:color w:val="000000"/>
        </w:rPr>
      </w:pPr>
      <w:r>
        <w:rPr>
          <w:rFonts w:ascii="Garamond" w:hAnsi="Garamond"/>
          <w:color w:val="000000"/>
        </w:rPr>
        <w:t>3-4 narrative branches that explore different choices to be made over the course of your work of creative nonfiction</w:t>
      </w:r>
    </w:p>
    <w:p w14:paraId="568B4ABC" w14:textId="77777777" w:rsidR="00A53E19" w:rsidRDefault="00A53E19" w:rsidP="00A53E19">
      <w:pPr>
        <w:pStyle w:val="ListParagraph"/>
        <w:numPr>
          <w:ilvl w:val="0"/>
          <w:numId w:val="1"/>
        </w:numPr>
        <w:textAlignment w:val="baseline"/>
        <w:rPr>
          <w:rFonts w:ascii="Garamond" w:hAnsi="Garamond"/>
          <w:color w:val="000000"/>
        </w:rPr>
      </w:pPr>
      <w:r>
        <w:rPr>
          <w:rFonts w:ascii="Garamond" w:hAnsi="Garamond"/>
          <w:color w:val="000000"/>
        </w:rPr>
        <w:t>Well-written narrative prompts guiding readers through the choices in your story.</w:t>
      </w:r>
      <w:r w:rsidRPr="00B5007A">
        <w:rPr>
          <w:rFonts w:ascii="Garamond" w:hAnsi="Garamond"/>
          <w:color w:val="000000"/>
        </w:rPr>
        <w:t xml:space="preserve"> What is the story you are telling? </w:t>
      </w:r>
      <w:r>
        <w:rPr>
          <w:rFonts w:ascii="Garamond" w:hAnsi="Garamond"/>
          <w:color w:val="000000"/>
        </w:rPr>
        <w:t>Why are these the choices we need to make?</w:t>
      </w:r>
    </w:p>
    <w:p w14:paraId="38BEF6E6" w14:textId="77777777" w:rsidR="00A53E19" w:rsidRDefault="00A53E19" w:rsidP="00A53E19">
      <w:pPr>
        <w:pStyle w:val="ListParagraph"/>
        <w:numPr>
          <w:ilvl w:val="0"/>
          <w:numId w:val="1"/>
        </w:numPr>
        <w:textAlignment w:val="baseline"/>
        <w:rPr>
          <w:rFonts w:ascii="Garamond" w:hAnsi="Garamond"/>
          <w:color w:val="000000"/>
        </w:rPr>
      </w:pPr>
      <w:r>
        <w:rPr>
          <w:rFonts w:ascii="Garamond" w:hAnsi="Garamond"/>
          <w:color w:val="000000"/>
        </w:rPr>
        <w:t>4+ multimedia (audio/video/images) sources integrated thoughtfully into your narrative</w:t>
      </w:r>
    </w:p>
    <w:p w14:paraId="11129EEA" w14:textId="77777777" w:rsidR="00A53E19" w:rsidRPr="00B5007A" w:rsidRDefault="00A53E19" w:rsidP="00A53E19">
      <w:pPr>
        <w:pStyle w:val="ListParagraph"/>
        <w:numPr>
          <w:ilvl w:val="0"/>
          <w:numId w:val="1"/>
        </w:numPr>
        <w:textAlignment w:val="baseline"/>
        <w:rPr>
          <w:rFonts w:ascii="Garamond" w:hAnsi="Garamond"/>
          <w:color w:val="000000"/>
        </w:rPr>
      </w:pPr>
      <w:r>
        <w:rPr>
          <w:rFonts w:ascii="Garamond" w:hAnsi="Garamond"/>
          <w:color w:val="000000"/>
        </w:rPr>
        <w:t>MLA style citations for any sources used</w:t>
      </w:r>
    </w:p>
    <w:p w14:paraId="1DE09B29" w14:textId="77777777" w:rsidR="00CF03D9" w:rsidRPr="001A6D5B" w:rsidRDefault="00CF03D9" w:rsidP="00CF03D9">
      <w:pPr>
        <w:rPr>
          <w:rFonts w:ascii="Garamond" w:hAnsi="Garamond"/>
          <w:b/>
        </w:rPr>
      </w:pPr>
    </w:p>
    <w:p w14:paraId="4CAD34C8" w14:textId="77777777" w:rsidR="00CF03D9" w:rsidRPr="001A6D5B" w:rsidRDefault="00CF03D9" w:rsidP="00CF03D9">
      <w:pPr>
        <w:rPr>
          <w:rFonts w:ascii="Garamond" w:hAnsi="Garamond"/>
          <w:b/>
        </w:rPr>
      </w:pPr>
    </w:p>
    <w:p w14:paraId="2BCEC209" w14:textId="77777777" w:rsidR="00CF03D9" w:rsidRDefault="00CF03D9" w:rsidP="00CF03D9">
      <w:pPr>
        <w:jc w:val="center"/>
        <w:rPr>
          <w:rFonts w:ascii="Garamond" w:hAnsi="Garamond"/>
          <w:b/>
        </w:rPr>
      </w:pPr>
    </w:p>
    <w:p w14:paraId="35F6A3E5" w14:textId="77777777" w:rsidR="00CF03D9" w:rsidRDefault="00CF03D9" w:rsidP="00CF03D9">
      <w:pPr>
        <w:jc w:val="center"/>
        <w:rPr>
          <w:rFonts w:ascii="Garamond" w:hAnsi="Garamond"/>
          <w:b/>
        </w:rPr>
      </w:pPr>
    </w:p>
    <w:p w14:paraId="51FA4CC0" w14:textId="77777777" w:rsidR="00CF03D9" w:rsidRDefault="00CF03D9" w:rsidP="00CF03D9">
      <w:pPr>
        <w:jc w:val="center"/>
        <w:rPr>
          <w:rFonts w:ascii="Garamond" w:hAnsi="Garamond"/>
          <w:b/>
        </w:rPr>
      </w:pPr>
    </w:p>
    <w:p w14:paraId="0A5F434F" w14:textId="77777777" w:rsidR="00CF03D9" w:rsidRDefault="00CF03D9" w:rsidP="00CF03D9">
      <w:pPr>
        <w:jc w:val="center"/>
        <w:rPr>
          <w:rFonts w:ascii="Garamond" w:hAnsi="Garamond"/>
          <w:b/>
        </w:rPr>
      </w:pPr>
    </w:p>
    <w:p w14:paraId="03A5F436" w14:textId="77777777" w:rsidR="00CF03D9" w:rsidRDefault="00CF03D9" w:rsidP="00CF03D9">
      <w:pPr>
        <w:jc w:val="center"/>
        <w:rPr>
          <w:rFonts w:ascii="Garamond" w:hAnsi="Garamond"/>
          <w:b/>
        </w:rPr>
      </w:pPr>
    </w:p>
    <w:p w14:paraId="10966C2D" w14:textId="77777777" w:rsidR="00CF03D9" w:rsidRDefault="00CF03D9" w:rsidP="00CF03D9">
      <w:pPr>
        <w:jc w:val="center"/>
        <w:rPr>
          <w:rFonts w:ascii="Garamond" w:hAnsi="Garamond"/>
          <w:b/>
        </w:rPr>
      </w:pPr>
    </w:p>
    <w:p w14:paraId="75C0A26E" w14:textId="77777777" w:rsidR="00CF03D9" w:rsidRDefault="00CF03D9" w:rsidP="00CF03D9">
      <w:pPr>
        <w:jc w:val="center"/>
        <w:rPr>
          <w:rFonts w:ascii="Garamond" w:hAnsi="Garamond"/>
          <w:b/>
        </w:rPr>
      </w:pPr>
    </w:p>
    <w:p w14:paraId="7A245CFA" w14:textId="77777777" w:rsidR="00CF03D9" w:rsidRDefault="00CF03D9" w:rsidP="00CF03D9">
      <w:pPr>
        <w:jc w:val="center"/>
        <w:rPr>
          <w:rFonts w:ascii="Garamond" w:hAnsi="Garamond"/>
          <w:b/>
        </w:rPr>
      </w:pPr>
    </w:p>
    <w:p w14:paraId="7199A25E" w14:textId="233E8DBF" w:rsidR="00CF03D9" w:rsidRDefault="00CF03D9" w:rsidP="00CF03D9">
      <w:pPr>
        <w:rPr>
          <w:rFonts w:ascii="Garamond" w:hAnsi="Garamond"/>
          <w:b/>
        </w:rPr>
      </w:pPr>
    </w:p>
    <w:p w14:paraId="31D0A8A3" w14:textId="4D41F4F1" w:rsidR="000B4EA4" w:rsidRDefault="000B4EA4" w:rsidP="00CF03D9">
      <w:pPr>
        <w:rPr>
          <w:rFonts w:ascii="Garamond" w:hAnsi="Garamond"/>
          <w:b/>
        </w:rPr>
      </w:pPr>
    </w:p>
    <w:p w14:paraId="765EA859" w14:textId="286D66A1" w:rsidR="00B16A86" w:rsidRDefault="00B16A86" w:rsidP="00CF03D9">
      <w:pPr>
        <w:rPr>
          <w:rFonts w:ascii="Garamond" w:hAnsi="Garamond"/>
          <w:b/>
        </w:rPr>
      </w:pPr>
    </w:p>
    <w:p w14:paraId="2DF6EBC8" w14:textId="4DB55A6D" w:rsidR="00CF03D9" w:rsidRDefault="00CF03D9" w:rsidP="00A53E19">
      <w:pPr>
        <w:rPr>
          <w:rFonts w:ascii="Garamond" w:hAnsi="Garamond"/>
          <w:b/>
        </w:rPr>
      </w:pPr>
    </w:p>
    <w:p w14:paraId="415ADC1E" w14:textId="77777777" w:rsidR="00A53E19" w:rsidRDefault="00A53E19" w:rsidP="00A53E19">
      <w:pPr>
        <w:rPr>
          <w:rFonts w:ascii="Garamond" w:hAnsi="Garamond"/>
          <w:b/>
        </w:rPr>
      </w:pPr>
    </w:p>
    <w:p w14:paraId="74C02667" w14:textId="77777777" w:rsidR="00CF03D9" w:rsidRPr="001A6D5B" w:rsidRDefault="00CF03D9" w:rsidP="00CF03D9">
      <w:pPr>
        <w:jc w:val="center"/>
        <w:rPr>
          <w:rFonts w:ascii="Garamond" w:hAnsi="Garamond"/>
          <w:b/>
        </w:rPr>
      </w:pPr>
      <w:r w:rsidRPr="001A6D5B">
        <w:rPr>
          <w:rFonts w:ascii="Garamond" w:hAnsi="Garamond"/>
          <w:b/>
        </w:rPr>
        <w:lastRenderedPageBreak/>
        <w:t>RUBRICS</w:t>
      </w:r>
    </w:p>
    <w:p w14:paraId="4B5EA44B" w14:textId="77777777" w:rsidR="00A53E19" w:rsidRDefault="00A53E19" w:rsidP="00A53E19">
      <w:pPr>
        <w:rPr>
          <w:rFonts w:ascii="Garamond" w:hAnsi="Garamond"/>
          <w:b/>
          <w:bCs/>
          <w:color w:val="000000"/>
        </w:rPr>
      </w:pPr>
      <w:r w:rsidRPr="001A6D5B">
        <w:rPr>
          <w:rFonts w:ascii="Garamond" w:hAnsi="Garamond"/>
          <w:b/>
        </w:rPr>
        <w:t xml:space="preserve">FEEDER </w:t>
      </w:r>
      <w:r>
        <w:rPr>
          <w:rFonts w:ascii="Garamond" w:hAnsi="Garamond"/>
          <w:b/>
        </w:rPr>
        <w:t>3</w:t>
      </w:r>
      <w:r w:rsidRPr="001A6D5B">
        <w:rPr>
          <w:rFonts w:ascii="Garamond" w:hAnsi="Garamond"/>
          <w:b/>
        </w:rPr>
        <w:t>.1</w:t>
      </w:r>
      <w:r>
        <w:rPr>
          <w:rFonts w:ascii="Garamond" w:hAnsi="Garamond"/>
          <w:b/>
        </w:rPr>
        <w:t xml:space="preserve">: </w:t>
      </w:r>
      <w:r>
        <w:rPr>
          <w:rFonts w:ascii="Garamond" w:hAnsi="Garamond"/>
          <w:b/>
          <w:bCs/>
          <w:color w:val="000000"/>
        </w:rPr>
        <w:t>Close Reading</w:t>
      </w:r>
    </w:p>
    <w:p w14:paraId="08D1AB50" w14:textId="3DD97476" w:rsidR="00A53E19" w:rsidRPr="00D8258A" w:rsidRDefault="00A53E19" w:rsidP="00A53E19">
      <w:pPr>
        <w:rPr>
          <w:rFonts w:ascii="Garamond" w:hAnsi="Garamond"/>
        </w:rPr>
      </w:pPr>
      <w:r w:rsidRPr="00D8258A">
        <w:rPr>
          <w:rFonts w:ascii="Garamond" w:hAnsi="Garamond"/>
        </w:rPr>
        <w:t xml:space="preserve">due </w:t>
      </w:r>
      <w:r>
        <w:rPr>
          <w:rFonts w:ascii="Garamond" w:hAnsi="Garamond"/>
        </w:rPr>
        <w:t>April 9, 2021</w:t>
      </w:r>
      <w:r w:rsidRPr="00D8258A">
        <w:rPr>
          <w:rFonts w:ascii="Garamond" w:hAnsi="Garamond"/>
        </w:rPr>
        <w:t xml:space="preserve"> </w:t>
      </w:r>
    </w:p>
    <w:p w14:paraId="6EA5DC46" w14:textId="77777777" w:rsidR="00A53E19" w:rsidRPr="001A6D5B" w:rsidRDefault="00A53E19" w:rsidP="00A53E19">
      <w:pPr>
        <w:rPr>
          <w:rFonts w:ascii="Garamond" w:hAnsi="Garamond"/>
          <w:b/>
        </w:rPr>
      </w:pPr>
    </w:p>
    <w:tbl>
      <w:tblPr>
        <w:tblStyle w:val="TableGrid"/>
        <w:tblW w:w="0" w:type="auto"/>
        <w:tblLook w:val="04A0" w:firstRow="1" w:lastRow="0" w:firstColumn="1" w:lastColumn="0" w:noHBand="0" w:noVBand="1"/>
      </w:tblPr>
      <w:tblGrid>
        <w:gridCol w:w="3415"/>
        <w:gridCol w:w="1980"/>
        <w:gridCol w:w="1980"/>
        <w:gridCol w:w="1975"/>
      </w:tblGrid>
      <w:tr w:rsidR="00A53E19" w:rsidRPr="001A6D5B" w14:paraId="2D4147C0" w14:textId="77777777" w:rsidTr="00392AA4">
        <w:tc>
          <w:tcPr>
            <w:tcW w:w="3415" w:type="dxa"/>
          </w:tcPr>
          <w:p w14:paraId="6C005CD1" w14:textId="77777777" w:rsidR="00A53E19" w:rsidRPr="001A6D5B" w:rsidRDefault="00A53E19" w:rsidP="00392AA4">
            <w:pPr>
              <w:rPr>
                <w:rFonts w:ascii="Garamond" w:hAnsi="Garamond"/>
                <w:b/>
              </w:rPr>
            </w:pPr>
          </w:p>
        </w:tc>
        <w:tc>
          <w:tcPr>
            <w:tcW w:w="1980" w:type="dxa"/>
          </w:tcPr>
          <w:p w14:paraId="64F5B3A3" w14:textId="77777777" w:rsidR="00A53E19" w:rsidRPr="001A6D5B" w:rsidRDefault="00A53E19" w:rsidP="00392AA4">
            <w:pPr>
              <w:rPr>
                <w:rFonts w:ascii="Garamond" w:hAnsi="Garamond"/>
                <w:b/>
              </w:rPr>
            </w:pPr>
            <w:r w:rsidRPr="001A6D5B">
              <w:rPr>
                <w:rFonts w:ascii="Garamond" w:hAnsi="Garamond"/>
                <w:b/>
              </w:rPr>
              <w:t>Excellent</w:t>
            </w:r>
          </w:p>
        </w:tc>
        <w:tc>
          <w:tcPr>
            <w:tcW w:w="1980" w:type="dxa"/>
          </w:tcPr>
          <w:p w14:paraId="40F95BD7" w14:textId="77777777" w:rsidR="00A53E19" w:rsidRPr="001A6D5B" w:rsidRDefault="00A53E19" w:rsidP="00392AA4">
            <w:pPr>
              <w:rPr>
                <w:rFonts w:ascii="Garamond" w:hAnsi="Garamond"/>
                <w:b/>
              </w:rPr>
            </w:pPr>
            <w:r w:rsidRPr="001A6D5B">
              <w:rPr>
                <w:rFonts w:ascii="Garamond" w:hAnsi="Garamond"/>
                <w:b/>
              </w:rPr>
              <w:t>Good</w:t>
            </w:r>
          </w:p>
        </w:tc>
        <w:tc>
          <w:tcPr>
            <w:tcW w:w="1975" w:type="dxa"/>
          </w:tcPr>
          <w:p w14:paraId="394528F6" w14:textId="77777777" w:rsidR="00A53E19" w:rsidRPr="001A6D5B" w:rsidRDefault="00A53E19" w:rsidP="00392AA4">
            <w:pPr>
              <w:rPr>
                <w:rFonts w:ascii="Garamond" w:hAnsi="Garamond"/>
                <w:b/>
              </w:rPr>
            </w:pPr>
            <w:r w:rsidRPr="001A6D5B">
              <w:rPr>
                <w:rFonts w:ascii="Garamond" w:hAnsi="Garamond"/>
                <w:b/>
              </w:rPr>
              <w:t>Fair</w:t>
            </w:r>
          </w:p>
        </w:tc>
      </w:tr>
      <w:tr w:rsidR="00A53E19" w:rsidRPr="001A6D5B" w14:paraId="55BE3067" w14:textId="77777777" w:rsidTr="00392AA4">
        <w:tc>
          <w:tcPr>
            <w:tcW w:w="3415" w:type="dxa"/>
          </w:tcPr>
          <w:p w14:paraId="3C6A572F" w14:textId="77777777" w:rsidR="00A53E19" w:rsidRPr="001A6D5B" w:rsidRDefault="00A53E19" w:rsidP="00392AA4">
            <w:pPr>
              <w:rPr>
                <w:rFonts w:ascii="Garamond" w:hAnsi="Garamond"/>
              </w:rPr>
            </w:pPr>
            <w:r>
              <w:rPr>
                <w:rFonts w:ascii="Garamond" w:hAnsi="Garamond"/>
              </w:rPr>
              <w:t xml:space="preserve">Close reading </w:t>
            </w:r>
            <w:r w:rsidRPr="0089759C">
              <w:rPr>
                <w:rFonts w:ascii="Garamond" w:hAnsi="Garamond"/>
              </w:rPr>
              <w:t>uncover</w:t>
            </w:r>
            <w:r>
              <w:rPr>
                <w:rFonts w:ascii="Garamond" w:hAnsi="Garamond"/>
              </w:rPr>
              <w:t>s</w:t>
            </w:r>
            <w:r w:rsidRPr="0089759C">
              <w:rPr>
                <w:rFonts w:ascii="Garamond" w:hAnsi="Garamond"/>
              </w:rPr>
              <w:t xml:space="preserve"> something within the work of </w:t>
            </w:r>
            <w:r>
              <w:rPr>
                <w:rFonts w:ascii="Garamond" w:hAnsi="Garamond"/>
              </w:rPr>
              <w:t>literature</w:t>
            </w:r>
            <w:r w:rsidRPr="0089759C">
              <w:rPr>
                <w:rFonts w:ascii="Garamond" w:hAnsi="Garamond"/>
              </w:rPr>
              <w:t>, not merely summarize</w:t>
            </w:r>
            <w:r>
              <w:rPr>
                <w:rFonts w:ascii="Garamond" w:hAnsi="Garamond"/>
              </w:rPr>
              <w:t>s</w:t>
            </w:r>
            <w:r w:rsidRPr="0089759C">
              <w:rPr>
                <w:rFonts w:ascii="Garamond" w:hAnsi="Garamond"/>
              </w:rPr>
              <w:t xml:space="preserve"> or describe</w:t>
            </w:r>
            <w:r>
              <w:rPr>
                <w:rFonts w:ascii="Garamond" w:hAnsi="Garamond"/>
              </w:rPr>
              <w:t xml:space="preserve">s </w:t>
            </w:r>
            <w:r w:rsidRPr="0089759C">
              <w:rPr>
                <w:rFonts w:ascii="Garamond" w:hAnsi="Garamond"/>
              </w:rPr>
              <w:t>it</w:t>
            </w:r>
          </w:p>
        </w:tc>
        <w:tc>
          <w:tcPr>
            <w:tcW w:w="1980" w:type="dxa"/>
          </w:tcPr>
          <w:p w14:paraId="569F7606" w14:textId="77777777" w:rsidR="00A53E19" w:rsidRPr="001A6D5B" w:rsidRDefault="00A53E19" w:rsidP="00392AA4">
            <w:pPr>
              <w:rPr>
                <w:rFonts w:ascii="Garamond" w:hAnsi="Garamond"/>
              </w:rPr>
            </w:pPr>
            <w:r w:rsidRPr="001A6D5B">
              <w:rPr>
                <w:rFonts w:ascii="Garamond" w:hAnsi="Garamond"/>
              </w:rPr>
              <w:t>5</w:t>
            </w:r>
          </w:p>
        </w:tc>
        <w:tc>
          <w:tcPr>
            <w:tcW w:w="1980" w:type="dxa"/>
          </w:tcPr>
          <w:p w14:paraId="3E7F96C0" w14:textId="77777777" w:rsidR="00A53E19" w:rsidRPr="001A6D5B" w:rsidRDefault="00A53E19" w:rsidP="00392AA4">
            <w:pPr>
              <w:rPr>
                <w:rFonts w:ascii="Garamond" w:hAnsi="Garamond"/>
              </w:rPr>
            </w:pPr>
            <w:r w:rsidRPr="001A6D5B">
              <w:rPr>
                <w:rFonts w:ascii="Garamond" w:hAnsi="Garamond"/>
              </w:rPr>
              <w:t>3</w:t>
            </w:r>
          </w:p>
        </w:tc>
        <w:tc>
          <w:tcPr>
            <w:tcW w:w="1975" w:type="dxa"/>
          </w:tcPr>
          <w:p w14:paraId="3FC72408" w14:textId="77777777" w:rsidR="00A53E19" w:rsidRPr="001A6D5B" w:rsidRDefault="00A53E19" w:rsidP="00392AA4">
            <w:pPr>
              <w:rPr>
                <w:rFonts w:ascii="Garamond" w:hAnsi="Garamond"/>
              </w:rPr>
            </w:pPr>
            <w:r w:rsidRPr="001A6D5B">
              <w:rPr>
                <w:rFonts w:ascii="Garamond" w:hAnsi="Garamond"/>
              </w:rPr>
              <w:t>1</w:t>
            </w:r>
          </w:p>
        </w:tc>
      </w:tr>
      <w:tr w:rsidR="00A53E19" w:rsidRPr="001A6D5B" w14:paraId="1747FD0F" w14:textId="77777777" w:rsidTr="00392AA4">
        <w:tc>
          <w:tcPr>
            <w:tcW w:w="3415" w:type="dxa"/>
          </w:tcPr>
          <w:p w14:paraId="7C53D607" w14:textId="77777777" w:rsidR="00A53E19" w:rsidRPr="001A6D5B" w:rsidRDefault="00A53E19" w:rsidP="00392AA4">
            <w:pPr>
              <w:rPr>
                <w:rFonts w:ascii="Garamond" w:hAnsi="Garamond"/>
              </w:rPr>
            </w:pPr>
            <w:r>
              <w:rPr>
                <w:rFonts w:ascii="Garamond" w:hAnsi="Garamond"/>
              </w:rPr>
              <w:t xml:space="preserve">Close reading </w:t>
            </w:r>
            <w:r w:rsidRPr="0089759C">
              <w:rPr>
                <w:rFonts w:ascii="Garamond" w:hAnsi="Garamond"/>
              </w:rPr>
              <w:t>keep your close reading focused on one</w:t>
            </w:r>
            <w:r>
              <w:rPr>
                <w:rFonts w:ascii="Garamond" w:hAnsi="Garamond"/>
              </w:rPr>
              <w:t>-two</w:t>
            </w:r>
            <w:r w:rsidRPr="0089759C">
              <w:rPr>
                <w:rFonts w:ascii="Garamond" w:hAnsi="Garamond"/>
              </w:rPr>
              <w:t xml:space="preserve"> motif, theme, or figure without crafting an argument </w:t>
            </w:r>
          </w:p>
        </w:tc>
        <w:tc>
          <w:tcPr>
            <w:tcW w:w="1980" w:type="dxa"/>
          </w:tcPr>
          <w:p w14:paraId="3746B8FD" w14:textId="77777777" w:rsidR="00A53E19" w:rsidRPr="001A6D5B" w:rsidRDefault="00A53E19" w:rsidP="00392AA4">
            <w:pPr>
              <w:rPr>
                <w:rFonts w:ascii="Garamond" w:hAnsi="Garamond"/>
              </w:rPr>
            </w:pPr>
            <w:r w:rsidRPr="001A6D5B">
              <w:rPr>
                <w:rFonts w:ascii="Garamond" w:hAnsi="Garamond"/>
              </w:rPr>
              <w:t>5</w:t>
            </w:r>
          </w:p>
        </w:tc>
        <w:tc>
          <w:tcPr>
            <w:tcW w:w="1980" w:type="dxa"/>
          </w:tcPr>
          <w:p w14:paraId="2F3391DC" w14:textId="77777777" w:rsidR="00A53E19" w:rsidRPr="001A6D5B" w:rsidRDefault="00A53E19" w:rsidP="00392AA4">
            <w:pPr>
              <w:rPr>
                <w:rFonts w:ascii="Garamond" w:hAnsi="Garamond"/>
              </w:rPr>
            </w:pPr>
            <w:r w:rsidRPr="001A6D5B">
              <w:rPr>
                <w:rFonts w:ascii="Garamond" w:hAnsi="Garamond"/>
              </w:rPr>
              <w:t>3</w:t>
            </w:r>
          </w:p>
        </w:tc>
        <w:tc>
          <w:tcPr>
            <w:tcW w:w="1975" w:type="dxa"/>
          </w:tcPr>
          <w:p w14:paraId="686F777E" w14:textId="77777777" w:rsidR="00A53E19" w:rsidRPr="001A6D5B" w:rsidRDefault="00A53E19" w:rsidP="00392AA4">
            <w:pPr>
              <w:rPr>
                <w:rFonts w:ascii="Garamond" w:hAnsi="Garamond"/>
              </w:rPr>
            </w:pPr>
            <w:r w:rsidRPr="001A6D5B">
              <w:rPr>
                <w:rFonts w:ascii="Garamond" w:hAnsi="Garamond"/>
              </w:rPr>
              <w:t>1</w:t>
            </w:r>
          </w:p>
        </w:tc>
      </w:tr>
      <w:tr w:rsidR="00A53E19" w:rsidRPr="001A6D5B" w14:paraId="12270A4F" w14:textId="77777777" w:rsidTr="00392AA4">
        <w:tc>
          <w:tcPr>
            <w:tcW w:w="3415" w:type="dxa"/>
          </w:tcPr>
          <w:p w14:paraId="3FC3EB96" w14:textId="77777777" w:rsidR="00A53E19" w:rsidRPr="001A6D5B" w:rsidRDefault="00A53E19" w:rsidP="00392AA4">
            <w:pPr>
              <w:rPr>
                <w:rFonts w:ascii="Garamond" w:hAnsi="Garamond"/>
              </w:rPr>
            </w:pPr>
            <w:r>
              <w:rPr>
                <w:rFonts w:ascii="Garamond" w:hAnsi="Garamond"/>
              </w:rPr>
              <w:t xml:space="preserve">Close reading </w:t>
            </w:r>
            <w:r w:rsidRPr="0089759C">
              <w:rPr>
                <w:rFonts w:ascii="Garamond" w:hAnsi="Garamond"/>
              </w:rPr>
              <w:t>attend</w:t>
            </w:r>
            <w:r>
              <w:rPr>
                <w:rFonts w:ascii="Garamond" w:hAnsi="Garamond"/>
              </w:rPr>
              <w:t>s</w:t>
            </w:r>
            <w:r w:rsidRPr="0089759C">
              <w:rPr>
                <w:rFonts w:ascii="Garamond" w:hAnsi="Garamond"/>
              </w:rPr>
              <w:t xml:space="preserve"> to the work of </w:t>
            </w:r>
            <w:r>
              <w:rPr>
                <w:rFonts w:ascii="Garamond" w:hAnsi="Garamond"/>
              </w:rPr>
              <w:t>literature</w:t>
            </w:r>
            <w:r w:rsidRPr="0089759C">
              <w:rPr>
                <w:rFonts w:ascii="Garamond" w:hAnsi="Garamond"/>
              </w:rPr>
              <w:t xml:space="preserve"> as a whole, not just a single part</w:t>
            </w:r>
          </w:p>
        </w:tc>
        <w:tc>
          <w:tcPr>
            <w:tcW w:w="1980" w:type="dxa"/>
          </w:tcPr>
          <w:p w14:paraId="5A31A9BD" w14:textId="77777777" w:rsidR="00A53E19" w:rsidRPr="001A6D5B" w:rsidRDefault="00A53E19" w:rsidP="00392AA4">
            <w:pPr>
              <w:rPr>
                <w:rFonts w:ascii="Garamond" w:hAnsi="Garamond"/>
              </w:rPr>
            </w:pPr>
            <w:r w:rsidRPr="001A6D5B">
              <w:rPr>
                <w:rFonts w:ascii="Garamond" w:hAnsi="Garamond"/>
              </w:rPr>
              <w:t>5</w:t>
            </w:r>
          </w:p>
        </w:tc>
        <w:tc>
          <w:tcPr>
            <w:tcW w:w="1980" w:type="dxa"/>
          </w:tcPr>
          <w:p w14:paraId="3E49A61B" w14:textId="77777777" w:rsidR="00A53E19" w:rsidRPr="001A6D5B" w:rsidRDefault="00A53E19" w:rsidP="00392AA4">
            <w:pPr>
              <w:rPr>
                <w:rFonts w:ascii="Garamond" w:hAnsi="Garamond"/>
              </w:rPr>
            </w:pPr>
            <w:r w:rsidRPr="001A6D5B">
              <w:rPr>
                <w:rFonts w:ascii="Garamond" w:hAnsi="Garamond"/>
              </w:rPr>
              <w:t>3</w:t>
            </w:r>
          </w:p>
        </w:tc>
        <w:tc>
          <w:tcPr>
            <w:tcW w:w="1975" w:type="dxa"/>
          </w:tcPr>
          <w:p w14:paraId="2A76299C" w14:textId="77777777" w:rsidR="00A53E19" w:rsidRPr="001A6D5B" w:rsidRDefault="00A53E19" w:rsidP="00392AA4">
            <w:pPr>
              <w:rPr>
                <w:rFonts w:ascii="Garamond" w:hAnsi="Garamond"/>
              </w:rPr>
            </w:pPr>
            <w:r w:rsidRPr="001A6D5B">
              <w:rPr>
                <w:rFonts w:ascii="Garamond" w:hAnsi="Garamond"/>
              </w:rPr>
              <w:t>1</w:t>
            </w:r>
          </w:p>
        </w:tc>
      </w:tr>
      <w:tr w:rsidR="00A53E19" w:rsidRPr="001A6D5B" w14:paraId="6843328A" w14:textId="77777777" w:rsidTr="00392AA4">
        <w:tc>
          <w:tcPr>
            <w:tcW w:w="3415" w:type="dxa"/>
          </w:tcPr>
          <w:p w14:paraId="7EC33ADB" w14:textId="77777777" w:rsidR="00A53E19" w:rsidRPr="001A6D5B" w:rsidRDefault="00A53E19" w:rsidP="00392AA4">
            <w:pPr>
              <w:rPr>
                <w:rFonts w:ascii="Garamond" w:hAnsi="Garamond"/>
              </w:rPr>
            </w:pPr>
            <w:r>
              <w:rPr>
                <w:rFonts w:ascii="Garamond" w:hAnsi="Garamond"/>
              </w:rPr>
              <w:t>Close reading references and unfolds 2-3 formal elements of writing</w:t>
            </w:r>
          </w:p>
        </w:tc>
        <w:tc>
          <w:tcPr>
            <w:tcW w:w="1980" w:type="dxa"/>
          </w:tcPr>
          <w:p w14:paraId="22B5F2AC" w14:textId="77777777" w:rsidR="00A53E19" w:rsidRPr="001A6D5B" w:rsidRDefault="00A53E19" w:rsidP="00392AA4">
            <w:pPr>
              <w:rPr>
                <w:rFonts w:ascii="Garamond" w:hAnsi="Garamond"/>
              </w:rPr>
            </w:pPr>
            <w:r w:rsidRPr="001A6D5B">
              <w:rPr>
                <w:rFonts w:ascii="Garamond" w:hAnsi="Garamond"/>
              </w:rPr>
              <w:t>5</w:t>
            </w:r>
          </w:p>
        </w:tc>
        <w:tc>
          <w:tcPr>
            <w:tcW w:w="1980" w:type="dxa"/>
          </w:tcPr>
          <w:p w14:paraId="392B87ED" w14:textId="77777777" w:rsidR="00A53E19" w:rsidRPr="001A6D5B" w:rsidRDefault="00A53E19" w:rsidP="00392AA4">
            <w:pPr>
              <w:rPr>
                <w:rFonts w:ascii="Garamond" w:hAnsi="Garamond"/>
              </w:rPr>
            </w:pPr>
            <w:r w:rsidRPr="001A6D5B">
              <w:rPr>
                <w:rFonts w:ascii="Garamond" w:hAnsi="Garamond"/>
              </w:rPr>
              <w:t>3</w:t>
            </w:r>
          </w:p>
        </w:tc>
        <w:tc>
          <w:tcPr>
            <w:tcW w:w="1975" w:type="dxa"/>
          </w:tcPr>
          <w:p w14:paraId="560A67F6" w14:textId="77777777" w:rsidR="00A53E19" w:rsidRPr="001A6D5B" w:rsidRDefault="00A53E19" w:rsidP="00392AA4">
            <w:pPr>
              <w:rPr>
                <w:rFonts w:ascii="Garamond" w:hAnsi="Garamond"/>
              </w:rPr>
            </w:pPr>
            <w:r w:rsidRPr="001A6D5B">
              <w:rPr>
                <w:rFonts w:ascii="Garamond" w:hAnsi="Garamond"/>
              </w:rPr>
              <w:t>1</w:t>
            </w:r>
          </w:p>
        </w:tc>
      </w:tr>
    </w:tbl>
    <w:p w14:paraId="338CF167" w14:textId="77777777" w:rsidR="00CF03D9" w:rsidRPr="001A6D5B" w:rsidRDefault="00CF03D9" w:rsidP="00CF03D9">
      <w:pPr>
        <w:rPr>
          <w:rFonts w:ascii="Garamond" w:hAnsi="Garamond"/>
          <w:b/>
        </w:rPr>
      </w:pPr>
    </w:p>
    <w:p w14:paraId="753AD59E" w14:textId="13857D26" w:rsidR="00CF03D9" w:rsidRDefault="00CF03D9" w:rsidP="00CF03D9">
      <w:pPr>
        <w:rPr>
          <w:rFonts w:ascii="Garamond" w:hAnsi="Garamond"/>
          <w:b/>
          <w:bCs/>
          <w:color w:val="000000"/>
        </w:rPr>
      </w:pPr>
      <w:r w:rsidRPr="001A6D5B">
        <w:rPr>
          <w:rFonts w:ascii="Garamond" w:hAnsi="Garamond"/>
          <w:b/>
        </w:rPr>
        <w:t xml:space="preserve">FEEDER </w:t>
      </w:r>
      <w:r w:rsidR="00A53E19">
        <w:rPr>
          <w:rFonts w:ascii="Garamond" w:hAnsi="Garamond"/>
          <w:b/>
        </w:rPr>
        <w:t>3</w:t>
      </w:r>
      <w:r w:rsidRPr="001A6D5B">
        <w:rPr>
          <w:rFonts w:ascii="Garamond" w:hAnsi="Garamond"/>
          <w:b/>
        </w:rPr>
        <w:t>.2</w:t>
      </w:r>
      <w:r w:rsidR="00A53E19">
        <w:rPr>
          <w:rFonts w:ascii="Garamond" w:hAnsi="Garamond"/>
          <w:b/>
        </w:rPr>
        <w:t xml:space="preserve">: </w:t>
      </w:r>
      <w:r w:rsidR="00A53E19">
        <w:rPr>
          <w:rFonts w:ascii="Garamond" w:hAnsi="Garamond"/>
          <w:b/>
          <w:bCs/>
          <w:color w:val="000000"/>
        </w:rPr>
        <w:t>Twine Narrative</w:t>
      </w:r>
      <w:r w:rsidR="000B4EA4">
        <w:rPr>
          <w:rFonts w:ascii="Garamond" w:hAnsi="Garamond"/>
          <w:b/>
          <w:bCs/>
          <w:color w:val="000000"/>
        </w:rPr>
        <w:t xml:space="preserve"> Draft</w:t>
      </w:r>
      <w:r w:rsidR="00A53E19">
        <w:rPr>
          <w:rFonts w:ascii="Garamond" w:hAnsi="Garamond"/>
          <w:b/>
          <w:bCs/>
          <w:color w:val="000000"/>
        </w:rPr>
        <w:t>s</w:t>
      </w:r>
    </w:p>
    <w:p w14:paraId="031ECD29" w14:textId="1F82CC8B" w:rsidR="00A53E19" w:rsidRPr="00A53E19" w:rsidRDefault="00A53E19" w:rsidP="00CF03D9">
      <w:pPr>
        <w:rPr>
          <w:rFonts w:ascii="Garamond" w:hAnsi="Garamond"/>
        </w:rPr>
      </w:pPr>
      <w:r>
        <w:rPr>
          <w:rFonts w:ascii="Garamond" w:hAnsi="Garamond"/>
        </w:rPr>
        <w:t>due April 23, 2021</w:t>
      </w:r>
    </w:p>
    <w:p w14:paraId="68BE18AC" w14:textId="77777777" w:rsidR="000B4EA4" w:rsidRPr="001A6D5B" w:rsidRDefault="000B4EA4" w:rsidP="00CF03D9">
      <w:pPr>
        <w:rPr>
          <w:rFonts w:ascii="Garamond" w:hAnsi="Garamond"/>
          <w:b/>
        </w:rPr>
      </w:pPr>
    </w:p>
    <w:tbl>
      <w:tblPr>
        <w:tblStyle w:val="TableGrid"/>
        <w:tblW w:w="0" w:type="auto"/>
        <w:tblLook w:val="04A0" w:firstRow="1" w:lastRow="0" w:firstColumn="1" w:lastColumn="0" w:noHBand="0" w:noVBand="1"/>
      </w:tblPr>
      <w:tblGrid>
        <w:gridCol w:w="3415"/>
        <w:gridCol w:w="1980"/>
        <w:gridCol w:w="1980"/>
        <w:gridCol w:w="1975"/>
      </w:tblGrid>
      <w:tr w:rsidR="00CF03D9" w:rsidRPr="001A6D5B" w14:paraId="6880E987" w14:textId="77777777" w:rsidTr="007E1B9A">
        <w:tc>
          <w:tcPr>
            <w:tcW w:w="3415" w:type="dxa"/>
          </w:tcPr>
          <w:p w14:paraId="6D21FBB7" w14:textId="77777777" w:rsidR="00CF03D9" w:rsidRPr="001A6D5B" w:rsidRDefault="00CF03D9" w:rsidP="007E1B9A">
            <w:pPr>
              <w:rPr>
                <w:rFonts w:ascii="Garamond" w:hAnsi="Garamond"/>
                <w:b/>
              </w:rPr>
            </w:pPr>
          </w:p>
        </w:tc>
        <w:tc>
          <w:tcPr>
            <w:tcW w:w="1980" w:type="dxa"/>
          </w:tcPr>
          <w:p w14:paraId="4BC29C48" w14:textId="77777777" w:rsidR="00CF03D9" w:rsidRPr="001A6D5B" w:rsidRDefault="00CF03D9" w:rsidP="007E1B9A">
            <w:pPr>
              <w:rPr>
                <w:rFonts w:ascii="Garamond" w:hAnsi="Garamond"/>
                <w:b/>
              </w:rPr>
            </w:pPr>
            <w:r w:rsidRPr="001A6D5B">
              <w:rPr>
                <w:rFonts w:ascii="Garamond" w:hAnsi="Garamond"/>
                <w:b/>
              </w:rPr>
              <w:t>Excellent</w:t>
            </w:r>
          </w:p>
        </w:tc>
        <w:tc>
          <w:tcPr>
            <w:tcW w:w="1980" w:type="dxa"/>
          </w:tcPr>
          <w:p w14:paraId="03F2594A" w14:textId="77777777" w:rsidR="00CF03D9" w:rsidRPr="001A6D5B" w:rsidRDefault="00CF03D9" w:rsidP="007E1B9A">
            <w:pPr>
              <w:rPr>
                <w:rFonts w:ascii="Garamond" w:hAnsi="Garamond"/>
                <w:b/>
              </w:rPr>
            </w:pPr>
            <w:r w:rsidRPr="001A6D5B">
              <w:rPr>
                <w:rFonts w:ascii="Garamond" w:hAnsi="Garamond"/>
                <w:b/>
              </w:rPr>
              <w:t>Good</w:t>
            </w:r>
          </w:p>
        </w:tc>
        <w:tc>
          <w:tcPr>
            <w:tcW w:w="1975" w:type="dxa"/>
          </w:tcPr>
          <w:p w14:paraId="03582B47" w14:textId="77777777" w:rsidR="00CF03D9" w:rsidRPr="001A6D5B" w:rsidRDefault="00CF03D9" w:rsidP="007E1B9A">
            <w:pPr>
              <w:rPr>
                <w:rFonts w:ascii="Garamond" w:hAnsi="Garamond"/>
                <w:b/>
              </w:rPr>
            </w:pPr>
            <w:r w:rsidRPr="001A6D5B">
              <w:rPr>
                <w:rFonts w:ascii="Garamond" w:hAnsi="Garamond"/>
                <w:b/>
              </w:rPr>
              <w:t>Fair</w:t>
            </w:r>
          </w:p>
        </w:tc>
      </w:tr>
      <w:tr w:rsidR="00CF03D9" w:rsidRPr="001A6D5B" w14:paraId="259DF088" w14:textId="77777777" w:rsidTr="007E1B9A">
        <w:tc>
          <w:tcPr>
            <w:tcW w:w="3415" w:type="dxa"/>
          </w:tcPr>
          <w:p w14:paraId="348BDCBA" w14:textId="60C64B04" w:rsidR="00CF03D9" w:rsidRPr="001A6D5B" w:rsidRDefault="00A53E19" w:rsidP="007E1B9A">
            <w:pPr>
              <w:rPr>
                <w:rFonts w:ascii="Garamond" w:hAnsi="Garamond"/>
              </w:rPr>
            </w:pPr>
            <w:r>
              <w:rPr>
                <w:rFonts w:ascii="Garamond" w:hAnsi="Garamond"/>
              </w:rPr>
              <w:t xml:space="preserve">Draft cultivates a </w:t>
            </w:r>
            <w:r w:rsidRPr="0030764B">
              <w:rPr>
                <w:rFonts w:ascii="Garamond" w:hAnsi="Garamond"/>
                <w:color w:val="000000"/>
              </w:rPr>
              <w:t xml:space="preserve">creative writing </w:t>
            </w:r>
            <w:r w:rsidRPr="00A53E19">
              <w:rPr>
                <w:rFonts w:ascii="Garamond" w:hAnsi="Garamond"/>
                <w:bCs/>
                <w:color w:val="000000"/>
              </w:rPr>
              <w:t>style</w:t>
            </w:r>
            <w:r w:rsidRPr="00A53E19">
              <w:rPr>
                <w:rFonts w:ascii="Garamond" w:hAnsi="Garamond"/>
                <w:color w:val="000000"/>
              </w:rPr>
              <w:t>.</w:t>
            </w:r>
            <w:r w:rsidRPr="0030764B">
              <w:rPr>
                <w:rFonts w:ascii="Garamond" w:hAnsi="Garamond"/>
                <w:color w:val="000000"/>
              </w:rPr>
              <w:t xml:space="preserve"> Writers make choices: just as the author of a short story chooses particular words and creates certain images in order to build a pattern across the story, you want to attempt to write </w:t>
            </w:r>
            <w:proofErr w:type="gramStart"/>
            <w:r w:rsidRPr="0030764B">
              <w:rPr>
                <w:rFonts w:ascii="Garamond" w:hAnsi="Garamond"/>
                <w:color w:val="000000"/>
              </w:rPr>
              <w:t>an</w:t>
            </w:r>
            <w:proofErr w:type="gramEnd"/>
            <w:r w:rsidRPr="0030764B">
              <w:rPr>
                <w:rFonts w:ascii="Garamond" w:hAnsi="Garamond"/>
                <w:color w:val="000000"/>
              </w:rPr>
              <w:t xml:space="preserve"> </w:t>
            </w:r>
            <w:r>
              <w:rPr>
                <w:rFonts w:ascii="Garamond" w:hAnsi="Garamond"/>
                <w:color w:val="000000"/>
              </w:rPr>
              <w:t xml:space="preserve">draft </w:t>
            </w:r>
            <w:r w:rsidRPr="0030764B">
              <w:rPr>
                <w:rFonts w:ascii="Garamond" w:hAnsi="Garamond"/>
                <w:color w:val="000000"/>
              </w:rPr>
              <w:t>that is tightly bound</w:t>
            </w:r>
          </w:p>
        </w:tc>
        <w:tc>
          <w:tcPr>
            <w:tcW w:w="1980" w:type="dxa"/>
          </w:tcPr>
          <w:p w14:paraId="749F88A2" w14:textId="77777777" w:rsidR="00CF03D9" w:rsidRPr="001A6D5B" w:rsidRDefault="00CF03D9" w:rsidP="007E1B9A">
            <w:pPr>
              <w:rPr>
                <w:rFonts w:ascii="Garamond" w:hAnsi="Garamond"/>
              </w:rPr>
            </w:pPr>
            <w:r w:rsidRPr="001A6D5B">
              <w:rPr>
                <w:rFonts w:ascii="Garamond" w:hAnsi="Garamond"/>
              </w:rPr>
              <w:t>5</w:t>
            </w:r>
          </w:p>
        </w:tc>
        <w:tc>
          <w:tcPr>
            <w:tcW w:w="1980" w:type="dxa"/>
          </w:tcPr>
          <w:p w14:paraId="2749B07B" w14:textId="77777777" w:rsidR="00CF03D9" w:rsidRPr="001A6D5B" w:rsidRDefault="00CF03D9" w:rsidP="007E1B9A">
            <w:pPr>
              <w:rPr>
                <w:rFonts w:ascii="Garamond" w:hAnsi="Garamond"/>
              </w:rPr>
            </w:pPr>
            <w:r w:rsidRPr="001A6D5B">
              <w:rPr>
                <w:rFonts w:ascii="Garamond" w:hAnsi="Garamond"/>
              </w:rPr>
              <w:t>3</w:t>
            </w:r>
          </w:p>
        </w:tc>
        <w:tc>
          <w:tcPr>
            <w:tcW w:w="1975" w:type="dxa"/>
          </w:tcPr>
          <w:p w14:paraId="51041B73" w14:textId="77777777" w:rsidR="00CF03D9" w:rsidRPr="001A6D5B" w:rsidRDefault="00CF03D9" w:rsidP="007E1B9A">
            <w:pPr>
              <w:rPr>
                <w:rFonts w:ascii="Garamond" w:hAnsi="Garamond"/>
              </w:rPr>
            </w:pPr>
            <w:r w:rsidRPr="001A6D5B">
              <w:rPr>
                <w:rFonts w:ascii="Garamond" w:hAnsi="Garamond"/>
              </w:rPr>
              <w:t>1</w:t>
            </w:r>
          </w:p>
        </w:tc>
      </w:tr>
      <w:tr w:rsidR="00CF03D9" w:rsidRPr="001A6D5B" w14:paraId="1D543168" w14:textId="77777777" w:rsidTr="007E1B9A">
        <w:tc>
          <w:tcPr>
            <w:tcW w:w="3415" w:type="dxa"/>
          </w:tcPr>
          <w:p w14:paraId="37215E82" w14:textId="7D1D811D" w:rsidR="00CF03D9" w:rsidRPr="001A6D5B" w:rsidRDefault="00CF03D9" w:rsidP="007E1B9A">
            <w:pPr>
              <w:rPr>
                <w:rFonts w:ascii="Garamond" w:hAnsi="Garamond"/>
              </w:rPr>
            </w:pPr>
            <w:r>
              <w:rPr>
                <w:rFonts w:ascii="Garamond" w:hAnsi="Garamond"/>
              </w:rPr>
              <w:t>Justification for</w:t>
            </w:r>
            <w:r w:rsidR="000B4EA4">
              <w:rPr>
                <w:rFonts w:ascii="Garamond" w:hAnsi="Garamond"/>
              </w:rPr>
              <w:t xml:space="preserve"> </w:t>
            </w:r>
            <w:r w:rsidR="00A53E19">
              <w:rPr>
                <w:rFonts w:ascii="Garamond" w:hAnsi="Garamond"/>
              </w:rPr>
              <w:t>various (3-4)</w:t>
            </w:r>
            <w:r>
              <w:rPr>
                <w:rFonts w:ascii="Garamond" w:hAnsi="Garamond"/>
              </w:rPr>
              <w:t xml:space="preserve"> narrative</w:t>
            </w:r>
            <w:r w:rsidR="00A53E19">
              <w:rPr>
                <w:rFonts w:ascii="Garamond" w:hAnsi="Garamond"/>
              </w:rPr>
              <w:t xml:space="preserve"> choices or branches</w:t>
            </w:r>
            <w:r>
              <w:rPr>
                <w:rFonts w:ascii="Garamond" w:hAnsi="Garamond"/>
              </w:rPr>
              <w:t xml:space="preserve"> is clear and additive to the story</w:t>
            </w:r>
          </w:p>
        </w:tc>
        <w:tc>
          <w:tcPr>
            <w:tcW w:w="1980" w:type="dxa"/>
          </w:tcPr>
          <w:p w14:paraId="1633778C" w14:textId="77777777" w:rsidR="00CF03D9" w:rsidRPr="001A6D5B" w:rsidRDefault="00CF03D9" w:rsidP="007E1B9A">
            <w:pPr>
              <w:rPr>
                <w:rFonts w:ascii="Garamond" w:hAnsi="Garamond"/>
              </w:rPr>
            </w:pPr>
            <w:r w:rsidRPr="001A6D5B">
              <w:rPr>
                <w:rFonts w:ascii="Garamond" w:hAnsi="Garamond"/>
              </w:rPr>
              <w:t>5</w:t>
            </w:r>
          </w:p>
        </w:tc>
        <w:tc>
          <w:tcPr>
            <w:tcW w:w="1980" w:type="dxa"/>
          </w:tcPr>
          <w:p w14:paraId="4F7DF2ED" w14:textId="77777777" w:rsidR="00CF03D9" w:rsidRPr="001A6D5B" w:rsidRDefault="00CF03D9" w:rsidP="007E1B9A">
            <w:pPr>
              <w:rPr>
                <w:rFonts w:ascii="Garamond" w:hAnsi="Garamond"/>
              </w:rPr>
            </w:pPr>
            <w:r w:rsidRPr="001A6D5B">
              <w:rPr>
                <w:rFonts w:ascii="Garamond" w:hAnsi="Garamond"/>
              </w:rPr>
              <w:t>3</w:t>
            </w:r>
          </w:p>
        </w:tc>
        <w:tc>
          <w:tcPr>
            <w:tcW w:w="1975" w:type="dxa"/>
          </w:tcPr>
          <w:p w14:paraId="2DDD495D" w14:textId="77777777" w:rsidR="00CF03D9" w:rsidRPr="001A6D5B" w:rsidRDefault="00CF03D9" w:rsidP="007E1B9A">
            <w:pPr>
              <w:rPr>
                <w:rFonts w:ascii="Garamond" w:hAnsi="Garamond"/>
              </w:rPr>
            </w:pPr>
            <w:r w:rsidRPr="001A6D5B">
              <w:rPr>
                <w:rFonts w:ascii="Garamond" w:hAnsi="Garamond"/>
              </w:rPr>
              <w:t>1</w:t>
            </w:r>
          </w:p>
        </w:tc>
      </w:tr>
      <w:tr w:rsidR="00CF03D9" w:rsidRPr="001A6D5B" w14:paraId="331C519E" w14:textId="77777777" w:rsidTr="007E1B9A">
        <w:tc>
          <w:tcPr>
            <w:tcW w:w="3415" w:type="dxa"/>
          </w:tcPr>
          <w:p w14:paraId="41F8143C" w14:textId="77777777" w:rsidR="00CF03D9" w:rsidRPr="001A6D5B" w:rsidRDefault="00CF03D9" w:rsidP="007E1B9A">
            <w:pPr>
              <w:rPr>
                <w:rFonts w:ascii="Garamond" w:hAnsi="Garamond"/>
              </w:rPr>
            </w:pPr>
            <w:r w:rsidRPr="001A6D5B">
              <w:rPr>
                <w:rFonts w:ascii="Garamond" w:hAnsi="Garamond"/>
              </w:rPr>
              <w:t>Writing is clear, specific, and concise</w:t>
            </w:r>
          </w:p>
        </w:tc>
        <w:tc>
          <w:tcPr>
            <w:tcW w:w="1980" w:type="dxa"/>
          </w:tcPr>
          <w:p w14:paraId="652D1723" w14:textId="77777777" w:rsidR="00CF03D9" w:rsidRPr="001A6D5B" w:rsidRDefault="00CF03D9" w:rsidP="007E1B9A">
            <w:pPr>
              <w:rPr>
                <w:rFonts w:ascii="Garamond" w:hAnsi="Garamond"/>
              </w:rPr>
            </w:pPr>
            <w:r w:rsidRPr="001A6D5B">
              <w:rPr>
                <w:rFonts w:ascii="Garamond" w:hAnsi="Garamond"/>
              </w:rPr>
              <w:t>5</w:t>
            </w:r>
          </w:p>
        </w:tc>
        <w:tc>
          <w:tcPr>
            <w:tcW w:w="1980" w:type="dxa"/>
          </w:tcPr>
          <w:p w14:paraId="0DDD95A6" w14:textId="77777777" w:rsidR="00CF03D9" w:rsidRPr="001A6D5B" w:rsidRDefault="00CF03D9" w:rsidP="007E1B9A">
            <w:pPr>
              <w:rPr>
                <w:rFonts w:ascii="Garamond" w:hAnsi="Garamond"/>
              </w:rPr>
            </w:pPr>
            <w:r w:rsidRPr="001A6D5B">
              <w:rPr>
                <w:rFonts w:ascii="Garamond" w:hAnsi="Garamond"/>
              </w:rPr>
              <w:t>3</w:t>
            </w:r>
          </w:p>
        </w:tc>
        <w:tc>
          <w:tcPr>
            <w:tcW w:w="1975" w:type="dxa"/>
          </w:tcPr>
          <w:p w14:paraId="08C2C56B" w14:textId="77777777" w:rsidR="00CF03D9" w:rsidRPr="001A6D5B" w:rsidRDefault="00CF03D9" w:rsidP="007E1B9A">
            <w:pPr>
              <w:rPr>
                <w:rFonts w:ascii="Garamond" w:hAnsi="Garamond"/>
              </w:rPr>
            </w:pPr>
            <w:r w:rsidRPr="001A6D5B">
              <w:rPr>
                <w:rFonts w:ascii="Garamond" w:hAnsi="Garamond"/>
              </w:rPr>
              <w:t>1</w:t>
            </w:r>
          </w:p>
        </w:tc>
      </w:tr>
      <w:tr w:rsidR="00CF03D9" w:rsidRPr="001A6D5B" w14:paraId="419FD211" w14:textId="77777777" w:rsidTr="007E1B9A">
        <w:tc>
          <w:tcPr>
            <w:tcW w:w="3415" w:type="dxa"/>
          </w:tcPr>
          <w:p w14:paraId="6073F9A1" w14:textId="6412214E" w:rsidR="00CF03D9" w:rsidRPr="001A6D5B" w:rsidRDefault="00CF03D9" w:rsidP="007E1B9A">
            <w:pPr>
              <w:rPr>
                <w:rFonts w:ascii="Garamond" w:hAnsi="Garamond"/>
              </w:rPr>
            </w:pPr>
            <w:r>
              <w:rPr>
                <w:rFonts w:ascii="Garamond" w:hAnsi="Garamond"/>
              </w:rPr>
              <w:t xml:space="preserve">All </w:t>
            </w:r>
            <w:r w:rsidR="00A53E19">
              <w:rPr>
                <w:rFonts w:ascii="Garamond" w:hAnsi="Garamond"/>
              </w:rPr>
              <w:t xml:space="preserve">multimedia </w:t>
            </w:r>
            <w:r>
              <w:rPr>
                <w:rFonts w:ascii="Garamond" w:hAnsi="Garamond"/>
              </w:rPr>
              <w:t>sources</w:t>
            </w:r>
            <w:r w:rsidRPr="001A6D5B">
              <w:rPr>
                <w:rFonts w:ascii="Garamond" w:hAnsi="Garamond"/>
              </w:rPr>
              <w:t xml:space="preserve"> referenced are correctly cited in </w:t>
            </w:r>
            <w:r w:rsidR="00B16A86">
              <w:rPr>
                <w:rFonts w:ascii="Garamond" w:hAnsi="Garamond"/>
              </w:rPr>
              <w:t>MLA</w:t>
            </w:r>
            <w:r w:rsidRPr="001A6D5B">
              <w:rPr>
                <w:rFonts w:ascii="Garamond" w:hAnsi="Garamond"/>
              </w:rPr>
              <w:t xml:space="preserve"> format</w:t>
            </w:r>
          </w:p>
        </w:tc>
        <w:tc>
          <w:tcPr>
            <w:tcW w:w="1980" w:type="dxa"/>
          </w:tcPr>
          <w:p w14:paraId="5C3C9085" w14:textId="77777777" w:rsidR="00CF03D9" w:rsidRPr="001A6D5B" w:rsidRDefault="00CF03D9" w:rsidP="007E1B9A">
            <w:pPr>
              <w:rPr>
                <w:rFonts w:ascii="Garamond" w:hAnsi="Garamond"/>
              </w:rPr>
            </w:pPr>
            <w:r w:rsidRPr="001A6D5B">
              <w:rPr>
                <w:rFonts w:ascii="Garamond" w:hAnsi="Garamond"/>
              </w:rPr>
              <w:t>5</w:t>
            </w:r>
          </w:p>
        </w:tc>
        <w:tc>
          <w:tcPr>
            <w:tcW w:w="1980" w:type="dxa"/>
          </w:tcPr>
          <w:p w14:paraId="1A8121E6" w14:textId="77777777" w:rsidR="00CF03D9" w:rsidRPr="001A6D5B" w:rsidRDefault="00CF03D9" w:rsidP="007E1B9A">
            <w:pPr>
              <w:rPr>
                <w:rFonts w:ascii="Garamond" w:hAnsi="Garamond"/>
              </w:rPr>
            </w:pPr>
            <w:r w:rsidRPr="001A6D5B">
              <w:rPr>
                <w:rFonts w:ascii="Garamond" w:hAnsi="Garamond"/>
              </w:rPr>
              <w:t>3</w:t>
            </w:r>
          </w:p>
        </w:tc>
        <w:tc>
          <w:tcPr>
            <w:tcW w:w="1975" w:type="dxa"/>
          </w:tcPr>
          <w:p w14:paraId="66FE3764" w14:textId="77777777" w:rsidR="00CF03D9" w:rsidRPr="001A6D5B" w:rsidRDefault="00CF03D9" w:rsidP="007E1B9A">
            <w:pPr>
              <w:rPr>
                <w:rFonts w:ascii="Garamond" w:hAnsi="Garamond"/>
              </w:rPr>
            </w:pPr>
            <w:r w:rsidRPr="001A6D5B">
              <w:rPr>
                <w:rFonts w:ascii="Garamond" w:hAnsi="Garamond"/>
              </w:rPr>
              <w:t>1</w:t>
            </w:r>
          </w:p>
        </w:tc>
      </w:tr>
    </w:tbl>
    <w:p w14:paraId="2B4AAEBE" w14:textId="77777777" w:rsidR="00CF03D9" w:rsidRPr="001A6D5B" w:rsidRDefault="00CF03D9" w:rsidP="00CF03D9">
      <w:pPr>
        <w:rPr>
          <w:rFonts w:ascii="Garamond" w:hAnsi="Garamond"/>
          <w:b/>
        </w:rPr>
      </w:pPr>
    </w:p>
    <w:p w14:paraId="6B1E7D52" w14:textId="77777777" w:rsidR="00CF03D9" w:rsidRPr="001A6D5B" w:rsidRDefault="00CF03D9" w:rsidP="00CF03D9">
      <w:pPr>
        <w:rPr>
          <w:rFonts w:ascii="Garamond" w:hAnsi="Garamond"/>
          <w:b/>
        </w:rPr>
      </w:pPr>
    </w:p>
    <w:p w14:paraId="0BBAABE0" w14:textId="77777777" w:rsidR="00CF03D9" w:rsidRPr="001A6D5B" w:rsidRDefault="00CF03D9" w:rsidP="00CF03D9">
      <w:pPr>
        <w:rPr>
          <w:rFonts w:ascii="Garamond" w:hAnsi="Garamond"/>
          <w:b/>
        </w:rPr>
      </w:pPr>
    </w:p>
    <w:p w14:paraId="1360783C" w14:textId="77777777" w:rsidR="00CF03D9" w:rsidRPr="001A6D5B" w:rsidRDefault="00CF03D9" w:rsidP="00CF03D9">
      <w:pPr>
        <w:rPr>
          <w:rFonts w:ascii="Garamond" w:hAnsi="Garamond"/>
          <w:b/>
        </w:rPr>
      </w:pPr>
    </w:p>
    <w:p w14:paraId="76F150B0" w14:textId="77777777" w:rsidR="00CF03D9" w:rsidRPr="001A6D5B" w:rsidRDefault="00CF03D9" w:rsidP="00CF03D9">
      <w:pPr>
        <w:rPr>
          <w:rFonts w:ascii="Garamond" w:hAnsi="Garamond"/>
          <w:b/>
        </w:rPr>
      </w:pPr>
    </w:p>
    <w:p w14:paraId="22B1674D" w14:textId="77777777" w:rsidR="00CF03D9" w:rsidRDefault="00CF03D9" w:rsidP="00CF03D9">
      <w:pPr>
        <w:rPr>
          <w:rFonts w:ascii="Garamond" w:hAnsi="Garamond"/>
          <w:b/>
        </w:rPr>
      </w:pPr>
    </w:p>
    <w:p w14:paraId="0AD4B617" w14:textId="77777777" w:rsidR="00CF03D9" w:rsidRDefault="00CF03D9" w:rsidP="00CF03D9">
      <w:pPr>
        <w:rPr>
          <w:rFonts w:ascii="Garamond" w:hAnsi="Garamond"/>
          <w:b/>
        </w:rPr>
      </w:pPr>
    </w:p>
    <w:p w14:paraId="686D3B5A" w14:textId="77EDC623" w:rsidR="00CF03D9" w:rsidRDefault="00CF03D9" w:rsidP="00CF03D9">
      <w:pPr>
        <w:rPr>
          <w:rFonts w:ascii="Garamond" w:hAnsi="Garamond"/>
          <w:b/>
        </w:rPr>
      </w:pPr>
    </w:p>
    <w:p w14:paraId="77D71E27" w14:textId="77777777" w:rsidR="00A53E19" w:rsidRDefault="00A53E19" w:rsidP="00CF03D9">
      <w:pPr>
        <w:rPr>
          <w:rFonts w:ascii="Garamond" w:hAnsi="Garamond"/>
          <w:b/>
        </w:rPr>
      </w:pPr>
    </w:p>
    <w:p w14:paraId="418AD21F" w14:textId="77777777" w:rsidR="00CF03D9" w:rsidRPr="001A6D5B" w:rsidRDefault="00CF03D9" w:rsidP="00CF03D9">
      <w:pPr>
        <w:rPr>
          <w:rFonts w:ascii="Garamond" w:hAnsi="Garamond"/>
          <w:b/>
        </w:rPr>
      </w:pPr>
      <w:r w:rsidRPr="001A6D5B">
        <w:rPr>
          <w:rFonts w:ascii="Garamond" w:hAnsi="Garamond"/>
          <w:b/>
        </w:rPr>
        <w:lastRenderedPageBreak/>
        <w:t>UNIT ASSIGNMENT RUBRIC</w:t>
      </w:r>
    </w:p>
    <w:p w14:paraId="05ABD4B8" w14:textId="233F0013" w:rsidR="00CF03D9" w:rsidRPr="00F80560" w:rsidRDefault="00F80560" w:rsidP="00CF03D9">
      <w:pPr>
        <w:rPr>
          <w:rFonts w:ascii="Garamond" w:hAnsi="Garamond"/>
        </w:rPr>
      </w:pPr>
      <w:r w:rsidRPr="00F80560">
        <w:rPr>
          <w:rFonts w:ascii="Garamond" w:hAnsi="Garamond"/>
        </w:rPr>
        <w:t>Twine Narrative</w:t>
      </w:r>
    </w:p>
    <w:p w14:paraId="42F29AFD" w14:textId="42C4073B" w:rsidR="00F80560" w:rsidRPr="00F80560" w:rsidRDefault="00F80560" w:rsidP="00CF03D9">
      <w:pPr>
        <w:rPr>
          <w:rFonts w:ascii="Garamond" w:hAnsi="Garamond"/>
        </w:rPr>
      </w:pPr>
      <w:r w:rsidRPr="00F80560">
        <w:rPr>
          <w:rFonts w:ascii="Garamond" w:hAnsi="Garamond"/>
        </w:rPr>
        <w:t>due May 4, 2021</w:t>
      </w:r>
    </w:p>
    <w:p w14:paraId="2C0C4813" w14:textId="77777777" w:rsidR="00CF03D9" w:rsidRPr="001A6D5B" w:rsidRDefault="00CF03D9" w:rsidP="00CF03D9">
      <w:pPr>
        <w:rPr>
          <w:rFonts w:ascii="Garamond" w:hAnsi="Garamond"/>
          <w:b/>
        </w:rPr>
      </w:pPr>
    </w:p>
    <w:tbl>
      <w:tblPr>
        <w:tblStyle w:val="TableGrid"/>
        <w:tblW w:w="0" w:type="auto"/>
        <w:tblLook w:val="04A0" w:firstRow="1" w:lastRow="0" w:firstColumn="1" w:lastColumn="0" w:noHBand="0" w:noVBand="1"/>
      </w:tblPr>
      <w:tblGrid>
        <w:gridCol w:w="2337"/>
        <w:gridCol w:w="2337"/>
        <w:gridCol w:w="2338"/>
        <w:gridCol w:w="2338"/>
      </w:tblGrid>
      <w:tr w:rsidR="00CF03D9" w:rsidRPr="001A6D5B" w14:paraId="73578D9E" w14:textId="77777777" w:rsidTr="007E1B9A">
        <w:tc>
          <w:tcPr>
            <w:tcW w:w="2337" w:type="dxa"/>
          </w:tcPr>
          <w:p w14:paraId="6E35C157" w14:textId="77777777" w:rsidR="00CF03D9" w:rsidRPr="001A6D5B" w:rsidRDefault="00CF03D9" w:rsidP="007E1B9A">
            <w:pPr>
              <w:rPr>
                <w:rFonts w:ascii="Garamond" w:hAnsi="Garamond"/>
                <w:b/>
              </w:rPr>
            </w:pPr>
            <w:bookmarkStart w:id="0" w:name="_GoBack"/>
            <w:bookmarkEnd w:id="0"/>
          </w:p>
        </w:tc>
        <w:tc>
          <w:tcPr>
            <w:tcW w:w="2337" w:type="dxa"/>
          </w:tcPr>
          <w:p w14:paraId="1F47088A" w14:textId="77777777" w:rsidR="00CF03D9" w:rsidRPr="001A6D5B" w:rsidRDefault="00CF03D9" w:rsidP="007E1B9A">
            <w:pPr>
              <w:rPr>
                <w:rFonts w:ascii="Garamond" w:hAnsi="Garamond"/>
                <w:b/>
              </w:rPr>
            </w:pPr>
            <w:r w:rsidRPr="001A6D5B">
              <w:rPr>
                <w:rFonts w:ascii="Garamond" w:hAnsi="Garamond"/>
                <w:b/>
              </w:rPr>
              <w:t>Excellent</w:t>
            </w:r>
          </w:p>
        </w:tc>
        <w:tc>
          <w:tcPr>
            <w:tcW w:w="2338" w:type="dxa"/>
          </w:tcPr>
          <w:p w14:paraId="031F5933" w14:textId="77777777" w:rsidR="00CF03D9" w:rsidRPr="001A6D5B" w:rsidRDefault="00CF03D9" w:rsidP="007E1B9A">
            <w:pPr>
              <w:rPr>
                <w:rFonts w:ascii="Garamond" w:hAnsi="Garamond"/>
                <w:b/>
              </w:rPr>
            </w:pPr>
            <w:r w:rsidRPr="001A6D5B">
              <w:rPr>
                <w:rFonts w:ascii="Garamond" w:hAnsi="Garamond"/>
                <w:b/>
              </w:rPr>
              <w:t>Good</w:t>
            </w:r>
          </w:p>
        </w:tc>
        <w:tc>
          <w:tcPr>
            <w:tcW w:w="2338" w:type="dxa"/>
          </w:tcPr>
          <w:p w14:paraId="64AD9C71" w14:textId="77777777" w:rsidR="00CF03D9" w:rsidRPr="001A6D5B" w:rsidRDefault="00CF03D9" w:rsidP="007E1B9A">
            <w:pPr>
              <w:rPr>
                <w:rFonts w:ascii="Garamond" w:hAnsi="Garamond"/>
                <w:b/>
              </w:rPr>
            </w:pPr>
            <w:r w:rsidRPr="001A6D5B">
              <w:rPr>
                <w:rFonts w:ascii="Garamond" w:hAnsi="Garamond"/>
                <w:b/>
              </w:rPr>
              <w:t>Fair</w:t>
            </w:r>
          </w:p>
        </w:tc>
      </w:tr>
      <w:tr w:rsidR="00CF03D9" w:rsidRPr="001A6D5B" w14:paraId="52E88224" w14:textId="77777777" w:rsidTr="007E1B9A">
        <w:tc>
          <w:tcPr>
            <w:tcW w:w="2337" w:type="dxa"/>
          </w:tcPr>
          <w:p w14:paraId="2A2F998E" w14:textId="77777777" w:rsidR="00CF03D9" w:rsidRDefault="00CF03D9" w:rsidP="007E1B9A">
            <w:pPr>
              <w:rPr>
                <w:rFonts w:ascii="Garamond" w:hAnsi="Garamond"/>
                <w:b/>
              </w:rPr>
            </w:pPr>
            <w:r w:rsidRPr="001A6D5B">
              <w:rPr>
                <w:rFonts w:ascii="Garamond" w:hAnsi="Garamond"/>
                <w:b/>
              </w:rPr>
              <w:t>Information</w:t>
            </w:r>
          </w:p>
          <w:p w14:paraId="00E0CCD4" w14:textId="6BA2FDFB" w:rsidR="00F917FA" w:rsidRPr="001A6D5B" w:rsidRDefault="00F917FA" w:rsidP="007E1B9A">
            <w:pPr>
              <w:rPr>
                <w:rFonts w:ascii="Garamond" w:hAnsi="Garamond"/>
                <w:b/>
              </w:rPr>
            </w:pPr>
            <w:r>
              <w:rPr>
                <w:rFonts w:ascii="Garamond" w:hAnsi="Garamond"/>
                <w:b/>
              </w:rPr>
              <w:t>/30</w:t>
            </w:r>
          </w:p>
        </w:tc>
        <w:tc>
          <w:tcPr>
            <w:tcW w:w="2337" w:type="dxa"/>
          </w:tcPr>
          <w:p w14:paraId="4B1EA02E" w14:textId="5D8446D6" w:rsidR="00CF03D9" w:rsidRPr="001A6D5B" w:rsidRDefault="00CF03D9" w:rsidP="007E1B9A">
            <w:pPr>
              <w:rPr>
                <w:rFonts w:ascii="Garamond" w:hAnsi="Garamond"/>
              </w:rPr>
            </w:pPr>
            <w:r w:rsidRPr="001A6D5B">
              <w:rPr>
                <w:rFonts w:ascii="Garamond" w:hAnsi="Garamond"/>
              </w:rPr>
              <w:t xml:space="preserve">Writer </w:t>
            </w:r>
            <w:r w:rsidR="005016B3">
              <w:rPr>
                <w:rFonts w:ascii="Garamond" w:hAnsi="Garamond"/>
              </w:rPr>
              <w:t xml:space="preserve">has </w:t>
            </w:r>
            <w:r w:rsidR="005016B3" w:rsidRPr="0030764B">
              <w:rPr>
                <w:rFonts w:ascii="Garamond" w:hAnsi="Garamond"/>
                <w:color w:val="000000"/>
              </w:rPr>
              <w:t>compose</w:t>
            </w:r>
            <w:r w:rsidR="005016B3">
              <w:rPr>
                <w:rFonts w:ascii="Garamond" w:hAnsi="Garamond"/>
                <w:color w:val="000000"/>
              </w:rPr>
              <w:t>d</w:t>
            </w:r>
            <w:r w:rsidR="005016B3" w:rsidRPr="0030764B">
              <w:rPr>
                <w:rFonts w:ascii="Garamond" w:hAnsi="Garamond"/>
                <w:color w:val="000000"/>
              </w:rPr>
              <w:t xml:space="preserve"> a piece of writing greater than the sum of its parts. Just </w:t>
            </w:r>
            <w:r w:rsidR="005016B3">
              <w:rPr>
                <w:rFonts w:ascii="Garamond" w:hAnsi="Garamond"/>
                <w:color w:val="000000"/>
              </w:rPr>
              <w:t xml:space="preserve">as </w:t>
            </w:r>
            <w:r w:rsidR="005016B3" w:rsidRPr="0030764B">
              <w:rPr>
                <w:rFonts w:ascii="Garamond" w:hAnsi="Garamond"/>
                <w:color w:val="000000"/>
              </w:rPr>
              <w:t xml:space="preserve">a personal essay is more than the rehashing of the details of an event, your </w:t>
            </w:r>
            <w:r w:rsidR="005016B3">
              <w:rPr>
                <w:rFonts w:ascii="Garamond" w:hAnsi="Garamond"/>
                <w:color w:val="000000"/>
              </w:rPr>
              <w:t>narrative</w:t>
            </w:r>
            <w:r w:rsidR="005016B3" w:rsidRPr="0030764B">
              <w:rPr>
                <w:rFonts w:ascii="Garamond" w:hAnsi="Garamond"/>
                <w:color w:val="000000"/>
              </w:rPr>
              <w:t xml:space="preserve"> will present more than a close reading or the retelling of a story would. </w:t>
            </w:r>
          </w:p>
        </w:tc>
        <w:tc>
          <w:tcPr>
            <w:tcW w:w="2338" w:type="dxa"/>
          </w:tcPr>
          <w:p w14:paraId="70F3E345" w14:textId="3AC6D2D2" w:rsidR="00CF03D9" w:rsidRPr="001A6D5B" w:rsidRDefault="00CF03D9" w:rsidP="007E1B9A">
            <w:pPr>
              <w:rPr>
                <w:rFonts w:ascii="Garamond" w:hAnsi="Garamond"/>
              </w:rPr>
            </w:pPr>
            <w:r w:rsidRPr="001A6D5B">
              <w:rPr>
                <w:rFonts w:ascii="Garamond" w:hAnsi="Garamond"/>
              </w:rPr>
              <w:t xml:space="preserve">Writer </w:t>
            </w:r>
            <w:r w:rsidR="00F80560">
              <w:rPr>
                <w:rFonts w:ascii="Garamond" w:hAnsi="Garamond"/>
              </w:rPr>
              <w:t>has composed a</w:t>
            </w:r>
            <w:r w:rsidRPr="001A6D5B">
              <w:rPr>
                <w:rFonts w:ascii="Garamond" w:hAnsi="Garamond"/>
              </w:rPr>
              <w:t xml:space="preserve"> competent</w:t>
            </w:r>
            <w:r w:rsidR="00F80560">
              <w:rPr>
                <w:rFonts w:ascii="Garamond" w:hAnsi="Garamond"/>
              </w:rPr>
              <w:t xml:space="preserve"> narrative, with occasionally disjointed pieces of narration or media. </w:t>
            </w:r>
          </w:p>
        </w:tc>
        <w:tc>
          <w:tcPr>
            <w:tcW w:w="2338" w:type="dxa"/>
          </w:tcPr>
          <w:p w14:paraId="5762BC36" w14:textId="6D868A95" w:rsidR="00CF03D9" w:rsidRPr="001A6D5B" w:rsidRDefault="00CF03D9" w:rsidP="007E1B9A">
            <w:pPr>
              <w:rPr>
                <w:rFonts w:ascii="Garamond" w:hAnsi="Garamond"/>
              </w:rPr>
            </w:pPr>
            <w:r w:rsidRPr="001A6D5B">
              <w:rPr>
                <w:rFonts w:ascii="Garamond" w:hAnsi="Garamond"/>
              </w:rPr>
              <w:t xml:space="preserve">Writer frequently seems uncertain of </w:t>
            </w:r>
            <w:r w:rsidR="00F80560">
              <w:rPr>
                <w:rFonts w:ascii="Garamond" w:hAnsi="Garamond"/>
              </w:rPr>
              <w:t xml:space="preserve">the </w:t>
            </w:r>
            <w:r w:rsidRPr="001A6D5B">
              <w:rPr>
                <w:rFonts w:ascii="Garamond" w:hAnsi="Garamond"/>
              </w:rPr>
              <w:t xml:space="preserve">significance </w:t>
            </w:r>
            <w:r w:rsidR="00F80560">
              <w:rPr>
                <w:rFonts w:ascii="Garamond" w:hAnsi="Garamond"/>
              </w:rPr>
              <w:t>of their narrative</w:t>
            </w:r>
            <w:r w:rsidRPr="001A6D5B">
              <w:rPr>
                <w:rFonts w:ascii="Garamond" w:hAnsi="Garamond"/>
              </w:rPr>
              <w:t>; fails to adequately convey information on their topic</w:t>
            </w:r>
          </w:p>
          <w:p w14:paraId="01DB3E0F" w14:textId="77777777" w:rsidR="00CF03D9" w:rsidRPr="001A6D5B" w:rsidRDefault="00CF03D9" w:rsidP="007E1B9A">
            <w:pPr>
              <w:rPr>
                <w:rFonts w:ascii="Garamond" w:hAnsi="Garamond"/>
                <w:b/>
              </w:rPr>
            </w:pPr>
          </w:p>
        </w:tc>
      </w:tr>
      <w:tr w:rsidR="00CF03D9" w:rsidRPr="001A6D5B" w14:paraId="731E483A" w14:textId="77777777" w:rsidTr="007E1B9A">
        <w:tc>
          <w:tcPr>
            <w:tcW w:w="2337" w:type="dxa"/>
          </w:tcPr>
          <w:p w14:paraId="17F36558" w14:textId="77777777" w:rsidR="00F917FA" w:rsidRDefault="00CF03D9" w:rsidP="007E1B9A">
            <w:pPr>
              <w:rPr>
                <w:rFonts w:ascii="Garamond" w:hAnsi="Garamond"/>
                <w:b/>
              </w:rPr>
            </w:pPr>
            <w:r w:rsidRPr="001A6D5B">
              <w:rPr>
                <w:rFonts w:ascii="Garamond" w:hAnsi="Garamond"/>
                <w:b/>
              </w:rPr>
              <w:t>Clarity</w:t>
            </w:r>
          </w:p>
          <w:p w14:paraId="3CD57DDE" w14:textId="3F2C0CCA" w:rsidR="00CF03D9" w:rsidRPr="001A6D5B" w:rsidRDefault="00F917FA" w:rsidP="007E1B9A">
            <w:pPr>
              <w:rPr>
                <w:rFonts w:ascii="Garamond" w:hAnsi="Garamond"/>
                <w:b/>
              </w:rPr>
            </w:pPr>
            <w:r>
              <w:rPr>
                <w:rFonts w:ascii="Garamond" w:hAnsi="Garamond"/>
                <w:b/>
              </w:rPr>
              <w:t>/30</w:t>
            </w:r>
          </w:p>
        </w:tc>
        <w:tc>
          <w:tcPr>
            <w:tcW w:w="2337" w:type="dxa"/>
          </w:tcPr>
          <w:p w14:paraId="654A6F82" w14:textId="202056CA" w:rsidR="00CF03D9" w:rsidRPr="001A6D5B" w:rsidRDefault="00CF03D9" w:rsidP="007E1B9A">
            <w:pPr>
              <w:rPr>
                <w:rFonts w:ascii="Garamond" w:hAnsi="Garamond"/>
              </w:rPr>
            </w:pPr>
            <w:r w:rsidRPr="001A6D5B">
              <w:rPr>
                <w:rFonts w:ascii="Garamond" w:hAnsi="Garamond"/>
              </w:rPr>
              <w:t xml:space="preserve">Writer makes the </w:t>
            </w:r>
            <w:r w:rsidR="00F80560">
              <w:rPr>
                <w:rFonts w:ascii="Garamond" w:hAnsi="Garamond"/>
              </w:rPr>
              <w:t>narrative choices</w:t>
            </w:r>
            <w:r w:rsidRPr="001A6D5B">
              <w:rPr>
                <w:rFonts w:ascii="Garamond" w:hAnsi="Garamond"/>
              </w:rPr>
              <w:t xml:space="preserve"> easily understandable to a general audience</w:t>
            </w:r>
            <w:r w:rsidR="00F80560">
              <w:rPr>
                <w:rFonts w:ascii="Garamond" w:hAnsi="Garamond"/>
              </w:rPr>
              <w:t xml:space="preserve"> and additive to the overall story.</w:t>
            </w:r>
          </w:p>
        </w:tc>
        <w:tc>
          <w:tcPr>
            <w:tcW w:w="2338" w:type="dxa"/>
          </w:tcPr>
          <w:p w14:paraId="73A4C177" w14:textId="0C39F794" w:rsidR="00CF03D9" w:rsidRPr="001A6D5B" w:rsidRDefault="00CF03D9" w:rsidP="007E1B9A">
            <w:pPr>
              <w:rPr>
                <w:rFonts w:ascii="Garamond" w:hAnsi="Garamond"/>
              </w:rPr>
            </w:pPr>
            <w:r w:rsidRPr="001A6D5B">
              <w:rPr>
                <w:rFonts w:ascii="Garamond" w:hAnsi="Garamond"/>
              </w:rPr>
              <w:t xml:space="preserve">Writer generally takes care to clarify the </w:t>
            </w:r>
            <w:r w:rsidR="00F80560">
              <w:rPr>
                <w:rFonts w:ascii="Garamond" w:hAnsi="Garamond"/>
              </w:rPr>
              <w:t xml:space="preserve">narrative choices </w:t>
            </w:r>
            <w:r w:rsidRPr="001A6D5B">
              <w:rPr>
                <w:rFonts w:ascii="Garamond" w:hAnsi="Garamond"/>
              </w:rPr>
              <w:t>for the audience, but occasionally leaves information unexplained.</w:t>
            </w:r>
          </w:p>
        </w:tc>
        <w:tc>
          <w:tcPr>
            <w:tcW w:w="2338" w:type="dxa"/>
          </w:tcPr>
          <w:p w14:paraId="129EDA02" w14:textId="00F4A624" w:rsidR="00CF03D9" w:rsidRPr="001A6D5B" w:rsidRDefault="00CF03D9" w:rsidP="007E1B9A">
            <w:pPr>
              <w:rPr>
                <w:rFonts w:ascii="Garamond" w:hAnsi="Garamond"/>
              </w:rPr>
            </w:pPr>
            <w:r w:rsidRPr="001A6D5B">
              <w:rPr>
                <w:rFonts w:ascii="Garamond" w:hAnsi="Garamond"/>
              </w:rPr>
              <w:t xml:space="preserve">Writer fails to provide enough background for </w:t>
            </w:r>
            <w:r w:rsidR="00F80560">
              <w:rPr>
                <w:rFonts w:ascii="Garamond" w:hAnsi="Garamond"/>
              </w:rPr>
              <w:t>narrative choices</w:t>
            </w:r>
            <w:r w:rsidRPr="001A6D5B">
              <w:rPr>
                <w:rFonts w:ascii="Garamond" w:hAnsi="Garamond"/>
              </w:rPr>
              <w:t xml:space="preserve">; may make excessive use of jargon or fail to explain the significance of </w:t>
            </w:r>
            <w:r w:rsidR="00F80560">
              <w:rPr>
                <w:rFonts w:ascii="Garamond" w:hAnsi="Garamond"/>
              </w:rPr>
              <w:t>a narrative event.</w:t>
            </w:r>
          </w:p>
        </w:tc>
      </w:tr>
      <w:tr w:rsidR="00CF03D9" w:rsidRPr="001A6D5B" w14:paraId="54B52CF0" w14:textId="77777777" w:rsidTr="007E1B9A">
        <w:tc>
          <w:tcPr>
            <w:tcW w:w="2337" w:type="dxa"/>
          </w:tcPr>
          <w:p w14:paraId="54539F8D" w14:textId="77777777" w:rsidR="00CF03D9" w:rsidRDefault="00CF03D9" w:rsidP="007E1B9A">
            <w:pPr>
              <w:rPr>
                <w:rFonts w:ascii="Garamond" w:hAnsi="Garamond"/>
                <w:b/>
              </w:rPr>
            </w:pPr>
            <w:r w:rsidRPr="001A6D5B">
              <w:rPr>
                <w:rFonts w:ascii="Garamond" w:hAnsi="Garamond"/>
                <w:b/>
              </w:rPr>
              <w:t>Genre Style</w:t>
            </w:r>
          </w:p>
          <w:p w14:paraId="6BC5E08A" w14:textId="21FF77F0" w:rsidR="00F917FA" w:rsidRPr="001A6D5B" w:rsidRDefault="00F917FA" w:rsidP="007E1B9A">
            <w:pPr>
              <w:rPr>
                <w:rFonts w:ascii="Garamond" w:hAnsi="Garamond"/>
                <w:b/>
              </w:rPr>
            </w:pPr>
            <w:r>
              <w:rPr>
                <w:rFonts w:ascii="Garamond" w:hAnsi="Garamond"/>
                <w:b/>
              </w:rPr>
              <w:t>/30</w:t>
            </w:r>
          </w:p>
        </w:tc>
        <w:tc>
          <w:tcPr>
            <w:tcW w:w="2337" w:type="dxa"/>
          </w:tcPr>
          <w:p w14:paraId="2143F78F" w14:textId="641F4ED6" w:rsidR="00CF03D9" w:rsidRPr="001A6D5B" w:rsidRDefault="00F80560" w:rsidP="007E1B9A">
            <w:pPr>
              <w:rPr>
                <w:rFonts w:ascii="Garamond" w:hAnsi="Garamond"/>
              </w:rPr>
            </w:pPr>
            <w:r>
              <w:rPr>
                <w:rFonts w:ascii="Garamond" w:hAnsi="Garamond"/>
              </w:rPr>
              <w:t>Twine narrative</w:t>
            </w:r>
            <w:r w:rsidR="00CF03D9" w:rsidRPr="001A6D5B">
              <w:rPr>
                <w:rFonts w:ascii="Garamond" w:hAnsi="Garamond"/>
              </w:rPr>
              <w:t xml:space="preserve"> is </w:t>
            </w:r>
            <w:r w:rsidR="000B4EA4">
              <w:rPr>
                <w:rFonts w:ascii="Garamond" w:hAnsi="Garamond"/>
              </w:rPr>
              <w:t xml:space="preserve">engaging, </w:t>
            </w:r>
            <w:r w:rsidR="00CF03D9" w:rsidRPr="001A6D5B">
              <w:rPr>
                <w:rFonts w:ascii="Garamond" w:hAnsi="Garamond"/>
              </w:rPr>
              <w:t>appealing, and appropriate to the style of</w:t>
            </w:r>
            <w:r>
              <w:rPr>
                <w:rFonts w:ascii="Garamond" w:hAnsi="Garamond"/>
              </w:rPr>
              <w:t xml:space="preserve"> interactive, multimedia creative nonfiction.</w:t>
            </w:r>
          </w:p>
        </w:tc>
        <w:tc>
          <w:tcPr>
            <w:tcW w:w="2338" w:type="dxa"/>
          </w:tcPr>
          <w:p w14:paraId="477CF24E" w14:textId="1E2F2D89" w:rsidR="00CF03D9" w:rsidRPr="001A6D5B" w:rsidRDefault="00F80560" w:rsidP="007E1B9A">
            <w:pPr>
              <w:rPr>
                <w:rFonts w:ascii="Garamond" w:hAnsi="Garamond"/>
              </w:rPr>
            </w:pPr>
            <w:r>
              <w:rPr>
                <w:rFonts w:ascii="Garamond" w:hAnsi="Garamond"/>
              </w:rPr>
              <w:t xml:space="preserve">Twine narrative </w:t>
            </w:r>
            <w:r w:rsidR="00CF03D9" w:rsidRPr="001A6D5B">
              <w:rPr>
                <w:rFonts w:ascii="Garamond" w:hAnsi="Garamond"/>
              </w:rPr>
              <w:t>is mostly in keeping with the style of a</w:t>
            </w:r>
            <w:r w:rsidR="000B4EA4">
              <w:rPr>
                <w:rFonts w:ascii="Garamond" w:hAnsi="Garamond"/>
              </w:rPr>
              <w:t xml:space="preserve"> </w:t>
            </w:r>
            <w:r>
              <w:rPr>
                <w:rFonts w:ascii="Garamond" w:hAnsi="Garamond"/>
              </w:rPr>
              <w:t xml:space="preserve">piece of </w:t>
            </w:r>
            <w:r>
              <w:rPr>
                <w:rFonts w:ascii="Garamond" w:hAnsi="Garamond"/>
              </w:rPr>
              <w:t>interactive, multimedia creative nonfiction.</w:t>
            </w:r>
            <w:r w:rsidR="00CF03D9" w:rsidRPr="001A6D5B">
              <w:rPr>
                <w:rFonts w:ascii="Garamond" w:hAnsi="Garamond"/>
              </w:rPr>
              <w:t>, but is occasionally disjointed or otherwise out of keeping with the genre.</w:t>
            </w:r>
          </w:p>
        </w:tc>
        <w:tc>
          <w:tcPr>
            <w:tcW w:w="2338" w:type="dxa"/>
          </w:tcPr>
          <w:p w14:paraId="1F686D82" w14:textId="602AA641" w:rsidR="00CF03D9" w:rsidRPr="001A6D5B" w:rsidRDefault="00F80560" w:rsidP="007E1B9A">
            <w:pPr>
              <w:rPr>
                <w:rFonts w:ascii="Garamond" w:hAnsi="Garamond"/>
              </w:rPr>
            </w:pPr>
            <w:r>
              <w:rPr>
                <w:rFonts w:ascii="Garamond" w:hAnsi="Garamond"/>
              </w:rPr>
              <w:t>Twine narrative</w:t>
            </w:r>
            <w:r w:rsidR="00CF03D9" w:rsidRPr="001A6D5B">
              <w:rPr>
                <w:rFonts w:ascii="Garamond" w:hAnsi="Garamond"/>
              </w:rPr>
              <w:t xml:space="preserve"> fails to </w:t>
            </w:r>
            <w:r w:rsidR="00CF03D9">
              <w:rPr>
                <w:rFonts w:ascii="Garamond" w:hAnsi="Garamond"/>
              </w:rPr>
              <w:t>take advantage of the technology,</w:t>
            </w:r>
            <w:r w:rsidR="00CF03D9" w:rsidRPr="001A6D5B">
              <w:rPr>
                <w:rFonts w:ascii="Garamond" w:hAnsi="Garamond"/>
              </w:rPr>
              <w:t xml:space="preserve"> may read more like a research paper or disconnected list of </w:t>
            </w:r>
            <w:r>
              <w:rPr>
                <w:rFonts w:ascii="Garamond" w:hAnsi="Garamond"/>
              </w:rPr>
              <w:t>events</w:t>
            </w:r>
          </w:p>
          <w:p w14:paraId="043DDF89" w14:textId="77777777" w:rsidR="00CF03D9" w:rsidRPr="001A6D5B" w:rsidRDefault="00CF03D9" w:rsidP="007E1B9A">
            <w:pPr>
              <w:rPr>
                <w:rFonts w:ascii="Garamond" w:hAnsi="Garamond"/>
                <w:b/>
              </w:rPr>
            </w:pPr>
          </w:p>
        </w:tc>
      </w:tr>
      <w:tr w:rsidR="00CF03D9" w:rsidRPr="001A6D5B" w14:paraId="5C6879F1" w14:textId="77777777" w:rsidTr="007E1B9A">
        <w:tc>
          <w:tcPr>
            <w:tcW w:w="2337" w:type="dxa"/>
          </w:tcPr>
          <w:p w14:paraId="5A6AE62B" w14:textId="77777777" w:rsidR="00CF03D9" w:rsidRDefault="00CF03D9" w:rsidP="007E1B9A">
            <w:pPr>
              <w:rPr>
                <w:rFonts w:ascii="Garamond" w:hAnsi="Garamond"/>
                <w:b/>
              </w:rPr>
            </w:pPr>
            <w:r w:rsidRPr="001A6D5B">
              <w:rPr>
                <w:rFonts w:ascii="Garamond" w:hAnsi="Garamond"/>
                <w:b/>
              </w:rPr>
              <w:t>Citation of Sources</w:t>
            </w:r>
          </w:p>
          <w:p w14:paraId="4589C66F" w14:textId="41827FC7" w:rsidR="00F917FA" w:rsidRPr="001A6D5B" w:rsidRDefault="00F917FA" w:rsidP="007E1B9A">
            <w:pPr>
              <w:rPr>
                <w:rFonts w:ascii="Garamond" w:hAnsi="Garamond"/>
                <w:b/>
              </w:rPr>
            </w:pPr>
            <w:r>
              <w:rPr>
                <w:rFonts w:ascii="Garamond" w:hAnsi="Garamond"/>
                <w:b/>
              </w:rPr>
              <w:t>/10</w:t>
            </w:r>
          </w:p>
        </w:tc>
        <w:tc>
          <w:tcPr>
            <w:tcW w:w="2337" w:type="dxa"/>
          </w:tcPr>
          <w:p w14:paraId="518E6298" w14:textId="512D3D32" w:rsidR="00CF03D9" w:rsidRPr="001A6D5B" w:rsidRDefault="00CF03D9" w:rsidP="007E1B9A">
            <w:pPr>
              <w:rPr>
                <w:rFonts w:ascii="Garamond" w:hAnsi="Garamond"/>
              </w:rPr>
            </w:pPr>
            <w:r w:rsidRPr="001A6D5B">
              <w:rPr>
                <w:rFonts w:ascii="Garamond" w:hAnsi="Garamond"/>
              </w:rPr>
              <w:t xml:space="preserve">Citation style consistent with </w:t>
            </w:r>
            <w:r w:rsidR="00B16A86">
              <w:rPr>
                <w:rFonts w:ascii="Garamond" w:hAnsi="Garamond"/>
              </w:rPr>
              <w:t>MLA</w:t>
            </w:r>
            <w:r w:rsidRPr="001A6D5B">
              <w:rPr>
                <w:rFonts w:ascii="Garamond" w:hAnsi="Garamond"/>
              </w:rPr>
              <w:t xml:space="preserve"> format</w:t>
            </w:r>
          </w:p>
        </w:tc>
        <w:tc>
          <w:tcPr>
            <w:tcW w:w="2338" w:type="dxa"/>
          </w:tcPr>
          <w:p w14:paraId="5E694BFD" w14:textId="77777777" w:rsidR="00CF03D9" w:rsidRPr="001A6D5B" w:rsidRDefault="00CF03D9" w:rsidP="007E1B9A">
            <w:pPr>
              <w:rPr>
                <w:rFonts w:ascii="Garamond" w:hAnsi="Garamond"/>
              </w:rPr>
            </w:pPr>
            <w:r w:rsidRPr="001A6D5B">
              <w:rPr>
                <w:rFonts w:ascii="Garamond" w:hAnsi="Garamond"/>
              </w:rPr>
              <w:t>Sources cited consistently but in a format inappropriate to the genre.</w:t>
            </w:r>
          </w:p>
        </w:tc>
        <w:tc>
          <w:tcPr>
            <w:tcW w:w="2338" w:type="dxa"/>
          </w:tcPr>
          <w:p w14:paraId="089522E6" w14:textId="77777777" w:rsidR="00CF03D9" w:rsidRPr="001A6D5B" w:rsidRDefault="00CF03D9" w:rsidP="007E1B9A">
            <w:pPr>
              <w:rPr>
                <w:rFonts w:ascii="Garamond" w:hAnsi="Garamond"/>
              </w:rPr>
            </w:pPr>
            <w:r w:rsidRPr="001A6D5B">
              <w:rPr>
                <w:rFonts w:ascii="Garamond" w:hAnsi="Garamond"/>
              </w:rPr>
              <w:t xml:space="preserve">Sources cited haphazardly </w:t>
            </w:r>
          </w:p>
        </w:tc>
      </w:tr>
    </w:tbl>
    <w:p w14:paraId="2F1AE8B8" w14:textId="77777777" w:rsidR="00CF03D9" w:rsidRPr="001A6D5B" w:rsidRDefault="00CF03D9" w:rsidP="00CF03D9">
      <w:pPr>
        <w:rPr>
          <w:rFonts w:ascii="Garamond" w:hAnsi="Garamond"/>
          <w:b/>
        </w:rPr>
      </w:pPr>
    </w:p>
    <w:p w14:paraId="365EB056" w14:textId="77777777" w:rsidR="00CF03D9" w:rsidRPr="001A6D5B" w:rsidRDefault="00CF03D9" w:rsidP="00CF03D9">
      <w:pPr>
        <w:rPr>
          <w:rFonts w:ascii="Garamond" w:hAnsi="Garamond"/>
          <w:b/>
        </w:rPr>
      </w:pPr>
    </w:p>
    <w:p w14:paraId="699FB6BF" w14:textId="77777777" w:rsidR="00CF03D9" w:rsidRPr="001A6D5B" w:rsidRDefault="00CF03D9" w:rsidP="00CF03D9">
      <w:pPr>
        <w:rPr>
          <w:rFonts w:ascii="Garamond" w:hAnsi="Garamond"/>
          <w:b/>
        </w:rPr>
      </w:pPr>
    </w:p>
    <w:p w14:paraId="2F329F9E" w14:textId="77777777" w:rsidR="00CF03D9" w:rsidRPr="001A6D5B" w:rsidRDefault="00CF03D9" w:rsidP="00CF03D9">
      <w:pPr>
        <w:rPr>
          <w:rFonts w:ascii="Garamond" w:hAnsi="Garamond"/>
          <w:b/>
        </w:rPr>
      </w:pPr>
    </w:p>
    <w:p w14:paraId="44224F42" w14:textId="77777777" w:rsidR="00CF03D9" w:rsidRPr="001A6D5B" w:rsidRDefault="00CF03D9" w:rsidP="00CF03D9">
      <w:pPr>
        <w:rPr>
          <w:rFonts w:ascii="Garamond" w:hAnsi="Garamond"/>
          <w:b/>
        </w:rPr>
      </w:pPr>
    </w:p>
    <w:p w14:paraId="73476F2A" w14:textId="77777777" w:rsidR="00163825" w:rsidRDefault="00163825"/>
    <w:sectPr w:rsidR="00163825" w:rsidSect="003F1A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E22A" w14:textId="77777777" w:rsidR="00BC25C1" w:rsidRDefault="00BC25C1" w:rsidP="00CF03D9">
      <w:r>
        <w:separator/>
      </w:r>
    </w:p>
  </w:endnote>
  <w:endnote w:type="continuationSeparator" w:id="0">
    <w:p w14:paraId="588E61FF" w14:textId="77777777" w:rsidR="00BC25C1" w:rsidRDefault="00BC25C1" w:rsidP="00CF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282D" w14:textId="77777777" w:rsidR="00BC25C1" w:rsidRDefault="00BC25C1" w:rsidP="00CF03D9">
      <w:r>
        <w:separator/>
      </w:r>
    </w:p>
  </w:footnote>
  <w:footnote w:type="continuationSeparator" w:id="0">
    <w:p w14:paraId="6874DE23" w14:textId="77777777" w:rsidR="00BC25C1" w:rsidRDefault="00BC25C1" w:rsidP="00CF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2B49" w14:textId="4D7046B6" w:rsidR="00CF03D9" w:rsidRPr="00CF03D9" w:rsidRDefault="00832E0D" w:rsidP="00CF03D9">
    <w:pPr>
      <w:pStyle w:val="Header"/>
      <w:jc w:val="right"/>
      <w:rPr>
        <w:rFonts w:ascii="Garamond" w:hAnsi="Garamond"/>
      </w:rPr>
    </w:pPr>
    <w:r>
      <w:rPr>
        <w:rFonts w:ascii="Garamond" w:hAnsi="Garamond"/>
      </w:rPr>
      <w:t>ENGL 105i Digital Humanities</w:t>
    </w:r>
  </w:p>
  <w:p w14:paraId="0A410467" w14:textId="4BCE97AC" w:rsidR="00CF03D9" w:rsidRDefault="00CF03D9" w:rsidP="00CF03D9">
    <w:pPr>
      <w:pStyle w:val="Header"/>
      <w:jc w:val="right"/>
      <w:rPr>
        <w:rFonts w:ascii="Garamond" w:hAnsi="Garamond"/>
      </w:rPr>
    </w:pPr>
    <w:r w:rsidRPr="00CF03D9">
      <w:rPr>
        <w:rFonts w:ascii="Garamond" w:hAnsi="Garamond"/>
      </w:rPr>
      <w:t xml:space="preserve">Unit </w:t>
    </w:r>
    <w:r w:rsidR="004C75F7">
      <w:rPr>
        <w:rFonts w:ascii="Garamond" w:hAnsi="Garamond"/>
      </w:rPr>
      <w:t>3</w:t>
    </w:r>
    <w:r w:rsidRPr="00CF03D9">
      <w:rPr>
        <w:rFonts w:ascii="Garamond" w:hAnsi="Garamond"/>
      </w:rPr>
      <w:t xml:space="preserve"> Assignment Sheet</w:t>
    </w:r>
  </w:p>
  <w:p w14:paraId="5D2E98FB" w14:textId="77777777" w:rsidR="00CF03D9" w:rsidRPr="00CF03D9" w:rsidRDefault="00CF03D9" w:rsidP="00CF03D9">
    <w:pPr>
      <w:pStyle w:val="Header"/>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85B"/>
    <w:multiLevelType w:val="hybridMultilevel"/>
    <w:tmpl w:val="3920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83DF3"/>
    <w:multiLevelType w:val="hybridMultilevel"/>
    <w:tmpl w:val="B800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622EA"/>
    <w:multiLevelType w:val="hybridMultilevel"/>
    <w:tmpl w:val="5D1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D9"/>
    <w:rsid w:val="000B4EA4"/>
    <w:rsid w:val="00163825"/>
    <w:rsid w:val="00271981"/>
    <w:rsid w:val="00296CFD"/>
    <w:rsid w:val="002A3E16"/>
    <w:rsid w:val="002E71BA"/>
    <w:rsid w:val="0039054C"/>
    <w:rsid w:val="003F1A69"/>
    <w:rsid w:val="004C75F7"/>
    <w:rsid w:val="005016B3"/>
    <w:rsid w:val="00576E70"/>
    <w:rsid w:val="00717B58"/>
    <w:rsid w:val="007C1162"/>
    <w:rsid w:val="00832E0D"/>
    <w:rsid w:val="009C7723"/>
    <w:rsid w:val="009D7F25"/>
    <w:rsid w:val="00A0567E"/>
    <w:rsid w:val="00A53E19"/>
    <w:rsid w:val="00B16A86"/>
    <w:rsid w:val="00B5007A"/>
    <w:rsid w:val="00BC25C1"/>
    <w:rsid w:val="00C1584C"/>
    <w:rsid w:val="00C4502B"/>
    <w:rsid w:val="00C746B2"/>
    <w:rsid w:val="00CF03D9"/>
    <w:rsid w:val="00D57F51"/>
    <w:rsid w:val="00F80560"/>
    <w:rsid w:val="00F917FA"/>
    <w:rsid w:val="00FF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49CB7"/>
  <w15:chartTrackingRefBased/>
  <w15:docId w15:val="{071E42CB-8124-E145-A528-EE57CEE0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3D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3D9"/>
    <w:pPr>
      <w:ind w:left="720"/>
      <w:contextualSpacing/>
    </w:pPr>
  </w:style>
  <w:style w:type="paragraph" w:styleId="Header">
    <w:name w:val="header"/>
    <w:basedOn w:val="Normal"/>
    <w:link w:val="HeaderChar"/>
    <w:uiPriority w:val="99"/>
    <w:unhideWhenUsed/>
    <w:rsid w:val="00CF03D9"/>
    <w:pPr>
      <w:tabs>
        <w:tab w:val="center" w:pos="4680"/>
        <w:tab w:val="right" w:pos="9360"/>
      </w:tabs>
    </w:pPr>
  </w:style>
  <w:style w:type="character" w:customStyle="1" w:styleId="HeaderChar">
    <w:name w:val="Header Char"/>
    <w:basedOn w:val="DefaultParagraphFont"/>
    <w:link w:val="Header"/>
    <w:uiPriority w:val="99"/>
    <w:rsid w:val="00CF03D9"/>
    <w:rPr>
      <w:rFonts w:ascii="Times New Roman" w:eastAsia="Times New Roman" w:hAnsi="Times New Roman" w:cs="Times New Roman"/>
    </w:rPr>
  </w:style>
  <w:style w:type="paragraph" w:styleId="Footer">
    <w:name w:val="footer"/>
    <w:basedOn w:val="Normal"/>
    <w:link w:val="FooterChar"/>
    <w:uiPriority w:val="99"/>
    <w:unhideWhenUsed/>
    <w:rsid w:val="00CF03D9"/>
    <w:pPr>
      <w:tabs>
        <w:tab w:val="center" w:pos="4680"/>
        <w:tab w:val="right" w:pos="9360"/>
      </w:tabs>
    </w:pPr>
  </w:style>
  <w:style w:type="character" w:customStyle="1" w:styleId="FooterChar">
    <w:name w:val="Footer Char"/>
    <w:basedOn w:val="DefaultParagraphFont"/>
    <w:link w:val="Footer"/>
    <w:uiPriority w:val="99"/>
    <w:rsid w:val="00CF03D9"/>
    <w:rPr>
      <w:rFonts w:ascii="Times New Roman" w:eastAsia="Times New Roman" w:hAnsi="Times New Roman" w:cs="Times New Roman"/>
    </w:rPr>
  </w:style>
  <w:style w:type="paragraph" w:customStyle="1" w:styleId="Default">
    <w:name w:val="Default"/>
    <w:rsid w:val="007C1162"/>
    <w:pPr>
      <w:autoSpaceDE w:val="0"/>
      <w:autoSpaceDN w:val="0"/>
      <w:adjustRightInd w:val="0"/>
    </w:pPr>
    <w:rPr>
      <w:rFonts w:ascii="Garamond" w:hAnsi="Garamond" w:cs="Garamond"/>
      <w:color w:val="000000"/>
    </w:rPr>
  </w:style>
  <w:style w:type="character" w:styleId="Hyperlink">
    <w:name w:val="Hyperlink"/>
    <w:basedOn w:val="DefaultParagraphFont"/>
    <w:uiPriority w:val="99"/>
    <w:unhideWhenUsed/>
    <w:rsid w:val="009C7723"/>
    <w:rPr>
      <w:color w:val="0563C1" w:themeColor="hyperlink"/>
      <w:u w:val="single"/>
    </w:rPr>
  </w:style>
  <w:style w:type="character" w:styleId="UnresolvedMention">
    <w:name w:val="Unresolved Mention"/>
    <w:basedOn w:val="DefaultParagraphFont"/>
    <w:uiPriority w:val="99"/>
    <w:semiHidden/>
    <w:unhideWhenUsed/>
    <w:rsid w:val="00A05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hammond.com/twineguide/" TargetMode="External"/><Relationship Id="rId3" Type="http://schemas.openxmlformats.org/officeDocument/2006/relationships/settings" Target="settings.xml"/><Relationship Id="rId7" Type="http://schemas.openxmlformats.org/officeDocument/2006/relationships/hyperlink" Target="https://twinery.org/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b-q.com/a-list-of-my-twenty-favorite-works-of-interactive-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1102</Words>
  <Characters>6064</Characters>
  <Application>Microsoft Office Word</Application>
  <DocSecurity>0</DocSecurity>
  <Lines>144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Schnitzler</dc:creator>
  <cp:keywords/>
  <dc:description/>
  <cp:lastModifiedBy>Microsoft Office User</cp:lastModifiedBy>
  <cp:revision>4</cp:revision>
  <dcterms:created xsi:type="dcterms:W3CDTF">2020-12-07T15:29:00Z</dcterms:created>
  <dcterms:modified xsi:type="dcterms:W3CDTF">2020-12-07T17:25:00Z</dcterms:modified>
</cp:coreProperties>
</file>